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charts/chart5.xml" ContentType="application/vnd.openxmlformats-officedocument.drawingml.chart+xml"/>
  <Override PartName="/word/theme/theme1.xml" ContentType="application/vnd.openxmlformats-officedocument.theme+xml"/>
  <Override PartName="/word/charts/chart4.xml" ContentType="application/vnd.openxmlformats-officedocument.drawingml.chart+xml"/>
  <Override PartName="/word/charts/chart3.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5BA" w:rsidRPr="00521B2F" w:rsidRDefault="00B115BA" w:rsidP="00B115BA">
      <w:pPr>
        <w:widowControl/>
        <w:overflowPunct/>
        <w:adjustRightInd/>
        <w:spacing w:after="0" w:line="276" w:lineRule="auto"/>
        <w:jc w:val="center"/>
        <w:rPr>
          <w:rFonts w:ascii="Times New Roman" w:hAnsi="Times New Roman" w:cs="Times New Roman"/>
          <w:b/>
          <w:kern w:val="0"/>
          <w:sz w:val="28"/>
          <w:szCs w:val="20"/>
        </w:rPr>
      </w:pPr>
      <w:r>
        <w:rPr>
          <w:rFonts w:ascii="Times New Roman" w:hAnsi="Times New Roman" w:cs="Times New Roman"/>
          <w:b/>
          <w:kern w:val="0"/>
          <w:sz w:val="28"/>
          <w:szCs w:val="20"/>
        </w:rPr>
        <w:t>FIRE AND RESCUE</w:t>
      </w:r>
      <w:r w:rsidRPr="00521B2F">
        <w:rPr>
          <w:rFonts w:ascii="Times New Roman" w:hAnsi="Times New Roman" w:cs="Times New Roman"/>
          <w:b/>
          <w:kern w:val="0"/>
          <w:sz w:val="28"/>
          <w:szCs w:val="20"/>
        </w:rPr>
        <w:t xml:space="preserve"> STATISTICS – 2015</w:t>
      </w:r>
    </w:p>
    <w:p w:rsidR="00B115BA" w:rsidRDefault="00B115BA" w:rsidP="00B115BA">
      <w:pPr>
        <w:tabs>
          <w:tab w:val="left" w:pos="360"/>
        </w:tabs>
        <w:spacing w:after="0" w:line="240" w:lineRule="auto"/>
        <w:jc w:val="both"/>
        <w:rPr>
          <w:rFonts w:ascii="Times New Roman" w:hAnsi="Times New Roman" w:cs="Times New Roman"/>
          <w:b/>
          <w:bCs/>
          <w:sz w:val="28"/>
          <w:szCs w:val="24"/>
        </w:rPr>
      </w:pPr>
      <w:r>
        <w:rPr>
          <w:rFonts w:ascii="Times New Roman" w:hAnsi="Times New Roman" w:cs="Times New Roman"/>
          <w:b/>
          <w:bCs/>
          <w:sz w:val="28"/>
          <w:szCs w:val="24"/>
        </w:rPr>
        <w:t xml:space="preserve">      </w:t>
      </w:r>
      <w:r>
        <w:rPr>
          <w:rFonts w:ascii="Times New Roman" w:hAnsi="Times New Roman" w:cs="Times New Roman"/>
          <w:b/>
          <w:bCs/>
          <w:sz w:val="28"/>
          <w:szCs w:val="24"/>
        </w:rPr>
        <w:tab/>
      </w:r>
      <w:r>
        <w:rPr>
          <w:rFonts w:ascii="Times New Roman" w:hAnsi="Times New Roman" w:cs="Times New Roman"/>
          <w:b/>
          <w:bCs/>
          <w:sz w:val="28"/>
          <w:szCs w:val="24"/>
        </w:rPr>
        <w:tab/>
        <w:t xml:space="preserve">             </w:t>
      </w:r>
    </w:p>
    <w:p w:rsidR="00B115BA" w:rsidRDefault="00B115BA" w:rsidP="00B115BA">
      <w:pPr>
        <w:tabs>
          <w:tab w:val="left" w:pos="360"/>
        </w:tabs>
        <w:spacing w:after="0" w:line="240" w:lineRule="auto"/>
        <w:jc w:val="both"/>
        <w:rPr>
          <w:rFonts w:ascii="Times New Roman" w:hAnsi="Times New Roman" w:cs="Times New Roman"/>
          <w:b/>
          <w:bCs/>
          <w:sz w:val="28"/>
          <w:szCs w:val="24"/>
        </w:rPr>
      </w:pPr>
    </w:p>
    <w:p w:rsidR="00DF534E" w:rsidRDefault="00DF534E" w:rsidP="00C70E77">
      <w:pPr>
        <w:numPr>
          <w:ilvl w:val="0"/>
          <w:numId w:val="2"/>
        </w:numPr>
        <w:tabs>
          <w:tab w:val="left" w:pos="360"/>
        </w:tabs>
        <w:spacing w:after="0" w:line="240" w:lineRule="auto"/>
        <w:ind w:left="0" w:firstLine="0"/>
        <w:jc w:val="both"/>
        <w:rPr>
          <w:rFonts w:ascii="Times New Roman" w:hAnsi="Times New Roman" w:cs="Times New Roman"/>
          <w:b/>
          <w:bCs/>
          <w:sz w:val="28"/>
          <w:szCs w:val="24"/>
        </w:rPr>
      </w:pPr>
      <w:r w:rsidRPr="00D22D2A">
        <w:rPr>
          <w:rFonts w:ascii="Times New Roman" w:hAnsi="Times New Roman" w:cs="Times New Roman"/>
          <w:b/>
          <w:bCs/>
          <w:sz w:val="28"/>
          <w:szCs w:val="24"/>
        </w:rPr>
        <w:t>Introduction</w:t>
      </w:r>
    </w:p>
    <w:p w:rsidR="00DF534E" w:rsidRPr="00D22D2A" w:rsidRDefault="00DF534E" w:rsidP="00DF534E">
      <w:pPr>
        <w:tabs>
          <w:tab w:val="left" w:pos="0"/>
        </w:tabs>
        <w:spacing w:after="0" w:line="240" w:lineRule="auto"/>
        <w:jc w:val="both"/>
        <w:rPr>
          <w:rFonts w:ascii="Times New Roman" w:hAnsi="Times New Roman" w:cs="Times New Roman"/>
          <w:b/>
          <w:bCs/>
          <w:sz w:val="28"/>
          <w:szCs w:val="24"/>
        </w:rPr>
      </w:pPr>
    </w:p>
    <w:p w:rsidR="00A521CA" w:rsidRDefault="00A521CA" w:rsidP="00A521CA">
      <w:pPr>
        <w:tabs>
          <w:tab w:val="left" w:pos="0"/>
        </w:tabs>
        <w:spacing w:after="0" w:line="276" w:lineRule="auto"/>
        <w:jc w:val="both"/>
        <w:rPr>
          <w:rFonts w:ascii="Times New Roman" w:hAnsi="Times New Roman" w:cs="Times New Roman"/>
          <w:bCs/>
          <w:sz w:val="24"/>
          <w:szCs w:val="24"/>
        </w:rPr>
      </w:pPr>
      <w:r w:rsidRPr="00D22D2A">
        <w:rPr>
          <w:rFonts w:ascii="Times New Roman" w:hAnsi="Times New Roman" w:cs="Times New Roman"/>
          <w:bCs/>
          <w:sz w:val="24"/>
          <w:szCs w:val="24"/>
        </w:rPr>
        <w:t xml:space="preserve">The Fire and Rescue Statistical Report presents data on </w:t>
      </w:r>
      <w:r>
        <w:rPr>
          <w:rFonts w:ascii="Times New Roman" w:hAnsi="Times New Roman" w:cs="Times New Roman"/>
          <w:bCs/>
          <w:sz w:val="24"/>
          <w:szCs w:val="24"/>
        </w:rPr>
        <w:t>fire incidents,</w:t>
      </w:r>
      <w:r w:rsidRPr="00D22D2A">
        <w:rPr>
          <w:rFonts w:ascii="Times New Roman" w:hAnsi="Times New Roman" w:cs="Times New Roman"/>
          <w:bCs/>
          <w:sz w:val="24"/>
          <w:szCs w:val="24"/>
        </w:rPr>
        <w:t xml:space="preserve"> special assistance</w:t>
      </w:r>
      <w:r>
        <w:rPr>
          <w:rFonts w:ascii="Times New Roman" w:hAnsi="Times New Roman" w:cs="Times New Roman"/>
          <w:bCs/>
          <w:sz w:val="24"/>
          <w:szCs w:val="24"/>
        </w:rPr>
        <w:t xml:space="preserve"> as well as fire and other emergency awareness campaign </w:t>
      </w:r>
      <w:r w:rsidRPr="00D22D2A">
        <w:rPr>
          <w:rFonts w:ascii="Times New Roman" w:hAnsi="Times New Roman" w:cs="Times New Roman"/>
          <w:bCs/>
          <w:sz w:val="24"/>
          <w:szCs w:val="24"/>
        </w:rPr>
        <w:t xml:space="preserve">compiled </w:t>
      </w:r>
      <w:r>
        <w:rPr>
          <w:rFonts w:ascii="Times New Roman" w:hAnsi="Times New Roman" w:cs="Times New Roman"/>
          <w:bCs/>
          <w:sz w:val="24"/>
          <w:szCs w:val="24"/>
        </w:rPr>
        <w:t>from</w:t>
      </w:r>
      <w:r w:rsidRPr="00D22D2A">
        <w:rPr>
          <w:rFonts w:ascii="Times New Roman" w:hAnsi="Times New Roman" w:cs="Times New Roman"/>
          <w:bCs/>
          <w:sz w:val="24"/>
          <w:szCs w:val="24"/>
        </w:rPr>
        <w:t xml:space="preserve"> administrative data collected by the Main Control Room and the Fire Safety Division of the Fire and Rescue Service.   </w:t>
      </w:r>
    </w:p>
    <w:p w:rsidR="00A521CA" w:rsidRDefault="00A521CA" w:rsidP="00A521CA">
      <w:pPr>
        <w:tabs>
          <w:tab w:val="left" w:pos="0"/>
        </w:tabs>
        <w:spacing w:after="0" w:line="276" w:lineRule="auto"/>
        <w:jc w:val="both"/>
        <w:rPr>
          <w:rFonts w:ascii="Times New Roman" w:hAnsi="Times New Roman" w:cs="Times New Roman"/>
          <w:bCs/>
          <w:sz w:val="24"/>
          <w:szCs w:val="24"/>
        </w:rPr>
      </w:pPr>
    </w:p>
    <w:p w:rsidR="00A521CA" w:rsidRDefault="00A521CA" w:rsidP="00A521CA">
      <w:pPr>
        <w:tabs>
          <w:tab w:val="left" w:pos="0"/>
        </w:tabs>
        <w:spacing w:after="0" w:line="276" w:lineRule="auto"/>
        <w:jc w:val="both"/>
        <w:rPr>
          <w:rFonts w:ascii="Times New Roman" w:hAnsi="Times New Roman" w:cs="Times New Roman"/>
          <w:bCs/>
          <w:sz w:val="24"/>
          <w:szCs w:val="24"/>
        </w:rPr>
      </w:pPr>
      <w:r w:rsidRPr="00D64E2F">
        <w:rPr>
          <w:rFonts w:ascii="Times New Roman" w:hAnsi="Times New Roman" w:cs="Times New Roman"/>
          <w:bCs/>
          <w:sz w:val="24"/>
          <w:szCs w:val="24"/>
        </w:rPr>
        <w:t xml:space="preserve">The data refer to the Island of Mauritius only.  The </w:t>
      </w:r>
      <w:r>
        <w:rPr>
          <w:rFonts w:ascii="Times New Roman" w:hAnsi="Times New Roman" w:cs="Times New Roman"/>
          <w:bCs/>
          <w:sz w:val="24"/>
          <w:szCs w:val="24"/>
        </w:rPr>
        <w:t xml:space="preserve">Main </w:t>
      </w:r>
      <w:r w:rsidRPr="00D64E2F">
        <w:rPr>
          <w:rFonts w:ascii="Times New Roman" w:hAnsi="Times New Roman" w:cs="Times New Roman"/>
          <w:bCs/>
          <w:sz w:val="24"/>
          <w:szCs w:val="24"/>
        </w:rPr>
        <w:t xml:space="preserve">Control </w:t>
      </w:r>
      <w:r>
        <w:rPr>
          <w:rFonts w:ascii="Times New Roman" w:hAnsi="Times New Roman" w:cs="Times New Roman"/>
          <w:bCs/>
          <w:sz w:val="24"/>
          <w:szCs w:val="24"/>
        </w:rPr>
        <w:t>Room</w:t>
      </w:r>
      <w:r w:rsidRPr="00D64E2F">
        <w:rPr>
          <w:rFonts w:ascii="Times New Roman" w:hAnsi="Times New Roman" w:cs="Times New Roman"/>
          <w:bCs/>
          <w:sz w:val="24"/>
          <w:szCs w:val="24"/>
        </w:rPr>
        <w:t xml:space="preserve"> receives all incoming emergency calls in the country, dispatches fire crews to </w:t>
      </w:r>
      <w:r w:rsidRPr="002F4303">
        <w:rPr>
          <w:rFonts w:ascii="Times New Roman" w:hAnsi="Times New Roman" w:cs="Times New Roman"/>
          <w:bCs/>
          <w:sz w:val="24"/>
          <w:szCs w:val="24"/>
        </w:rPr>
        <w:t>incident location</w:t>
      </w:r>
      <w:r w:rsidR="00B115BA">
        <w:rPr>
          <w:rFonts w:ascii="Times New Roman" w:hAnsi="Times New Roman" w:cs="Times New Roman"/>
          <w:bCs/>
          <w:sz w:val="24"/>
          <w:szCs w:val="24"/>
        </w:rPr>
        <w:t xml:space="preserve"> </w:t>
      </w:r>
      <w:r w:rsidRPr="00D64E2F">
        <w:rPr>
          <w:rFonts w:ascii="Times New Roman" w:hAnsi="Times New Roman" w:cs="Times New Roman"/>
          <w:bCs/>
          <w:sz w:val="24"/>
          <w:szCs w:val="24"/>
        </w:rPr>
        <w:t xml:space="preserve">and monitors management of operations on incident grounds. </w:t>
      </w:r>
    </w:p>
    <w:p w:rsidR="00A521CA" w:rsidRDefault="00A521CA" w:rsidP="00A521CA">
      <w:pPr>
        <w:tabs>
          <w:tab w:val="left" w:pos="0"/>
        </w:tabs>
        <w:spacing w:after="0" w:line="276" w:lineRule="auto"/>
        <w:jc w:val="both"/>
        <w:rPr>
          <w:rFonts w:ascii="Times New Roman" w:hAnsi="Times New Roman" w:cs="Times New Roman"/>
          <w:bCs/>
          <w:sz w:val="24"/>
          <w:szCs w:val="24"/>
        </w:rPr>
      </w:pPr>
    </w:p>
    <w:p w:rsidR="00A521CA" w:rsidRPr="009B6AAA" w:rsidRDefault="00A521CA" w:rsidP="00A521CA">
      <w:pPr>
        <w:tabs>
          <w:tab w:val="left" w:pos="0"/>
        </w:tabs>
        <w:spacing w:after="0" w:line="276" w:lineRule="auto"/>
        <w:jc w:val="both"/>
        <w:rPr>
          <w:rFonts w:ascii="Times New Roman" w:hAnsi="Times New Roman" w:cs="Times New Roman"/>
          <w:bCs/>
          <w:sz w:val="24"/>
          <w:szCs w:val="24"/>
        </w:rPr>
      </w:pPr>
      <w:r w:rsidRPr="002F4303">
        <w:rPr>
          <w:rFonts w:ascii="Times New Roman" w:hAnsi="Times New Roman" w:cs="Times New Roman"/>
          <w:bCs/>
          <w:sz w:val="24"/>
          <w:szCs w:val="24"/>
        </w:rPr>
        <w:t xml:space="preserve">However, the fire station boundaries may be different from that of district boundaries.   Any turn out of </w:t>
      </w:r>
      <w:proofErr w:type="spellStart"/>
      <w:r w:rsidRPr="002F4303">
        <w:rPr>
          <w:rFonts w:ascii="Times New Roman" w:hAnsi="Times New Roman" w:cs="Times New Roman"/>
          <w:bCs/>
          <w:sz w:val="24"/>
          <w:szCs w:val="24"/>
        </w:rPr>
        <w:t>firecalls</w:t>
      </w:r>
      <w:proofErr w:type="spellEnd"/>
      <w:r w:rsidRPr="002F4303">
        <w:rPr>
          <w:rFonts w:ascii="Times New Roman" w:hAnsi="Times New Roman" w:cs="Times New Roman"/>
          <w:bCs/>
          <w:sz w:val="24"/>
          <w:szCs w:val="24"/>
        </w:rPr>
        <w:t xml:space="preserve"> and special assistance cover area beyond the station and district boundaries.</w:t>
      </w:r>
    </w:p>
    <w:p w:rsidR="00A521CA" w:rsidRDefault="00A521CA" w:rsidP="00A521CA">
      <w:pPr>
        <w:tabs>
          <w:tab w:val="left" w:pos="0"/>
        </w:tabs>
        <w:spacing w:after="0" w:line="276" w:lineRule="auto"/>
        <w:jc w:val="both"/>
        <w:rPr>
          <w:rFonts w:ascii="Times New Roman" w:hAnsi="Times New Roman" w:cs="Times New Roman"/>
          <w:bCs/>
          <w:sz w:val="24"/>
          <w:szCs w:val="24"/>
        </w:rPr>
      </w:pPr>
    </w:p>
    <w:p w:rsidR="00A521CA" w:rsidRPr="00393513" w:rsidRDefault="00A521CA" w:rsidP="00A521CA">
      <w:pPr>
        <w:pStyle w:val="Default"/>
        <w:jc w:val="both"/>
        <w:rPr>
          <w:rFonts w:ascii="Times New Roman" w:hAnsi="Times New Roman" w:cs="Times New Roman"/>
        </w:rPr>
      </w:pPr>
      <w:r w:rsidRPr="00393513">
        <w:rPr>
          <w:rFonts w:ascii="Times New Roman" w:hAnsi="Times New Roman" w:cs="Times New Roman"/>
        </w:rPr>
        <w:t xml:space="preserve">It is hoped that the </w:t>
      </w:r>
      <w:r>
        <w:rPr>
          <w:rFonts w:ascii="Times New Roman" w:hAnsi="Times New Roman" w:cs="Times New Roman"/>
        </w:rPr>
        <w:t xml:space="preserve">data and information in this </w:t>
      </w:r>
      <w:r w:rsidRPr="00393513">
        <w:rPr>
          <w:rFonts w:ascii="Times New Roman" w:hAnsi="Times New Roman" w:cs="Times New Roman"/>
        </w:rPr>
        <w:t xml:space="preserve">report will be useful to the public in general and in particular to policy makers, planners and researchers. </w:t>
      </w:r>
    </w:p>
    <w:p w:rsidR="00A521CA" w:rsidRDefault="00A521CA" w:rsidP="00A521CA">
      <w:pPr>
        <w:tabs>
          <w:tab w:val="left" w:pos="0"/>
        </w:tabs>
        <w:spacing w:after="0" w:line="276" w:lineRule="auto"/>
        <w:jc w:val="both"/>
        <w:rPr>
          <w:rFonts w:ascii="Times New Roman" w:hAnsi="Times New Roman" w:cs="Times New Roman"/>
          <w:bCs/>
          <w:sz w:val="24"/>
          <w:szCs w:val="24"/>
        </w:rPr>
      </w:pPr>
    </w:p>
    <w:p w:rsidR="00A521CA" w:rsidRDefault="00A521CA" w:rsidP="00A521CA">
      <w:pPr>
        <w:spacing w:line="276" w:lineRule="auto"/>
        <w:rPr>
          <w:rFonts w:ascii="Times New Roman" w:hAnsi="Times New Roman" w:cs="Times New Roman"/>
          <w:sz w:val="24"/>
          <w:szCs w:val="24"/>
        </w:rPr>
      </w:pPr>
      <w:r>
        <w:rPr>
          <w:rFonts w:ascii="Times New Roman" w:hAnsi="Times New Roman" w:cs="Times New Roman"/>
          <w:sz w:val="24"/>
          <w:szCs w:val="24"/>
        </w:rPr>
        <w:t xml:space="preserve">The report is available on </w:t>
      </w:r>
      <w:r w:rsidR="00B86734">
        <w:rPr>
          <w:rFonts w:ascii="Times New Roman" w:hAnsi="Times New Roman" w:cs="Times New Roman"/>
          <w:sz w:val="24"/>
          <w:szCs w:val="24"/>
        </w:rPr>
        <w:t xml:space="preserve">the </w:t>
      </w:r>
      <w:r w:rsidRPr="00331EFA">
        <w:rPr>
          <w:rFonts w:ascii="Times New Roman" w:hAnsi="Times New Roman" w:cs="Times New Roman"/>
          <w:sz w:val="24"/>
          <w:szCs w:val="24"/>
        </w:rPr>
        <w:t>M</w:t>
      </w:r>
      <w:r>
        <w:rPr>
          <w:rFonts w:ascii="Times New Roman" w:hAnsi="Times New Roman" w:cs="Times New Roman"/>
          <w:sz w:val="24"/>
          <w:szCs w:val="24"/>
        </w:rPr>
        <w:t xml:space="preserve">auritius </w:t>
      </w:r>
      <w:r w:rsidRPr="00331EFA">
        <w:rPr>
          <w:rFonts w:ascii="Times New Roman" w:hAnsi="Times New Roman" w:cs="Times New Roman"/>
          <w:sz w:val="24"/>
          <w:szCs w:val="24"/>
        </w:rPr>
        <w:t>F</w:t>
      </w:r>
      <w:r>
        <w:rPr>
          <w:rFonts w:ascii="Times New Roman" w:hAnsi="Times New Roman" w:cs="Times New Roman"/>
          <w:sz w:val="24"/>
          <w:szCs w:val="24"/>
        </w:rPr>
        <w:t xml:space="preserve">ire and </w:t>
      </w:r>
      <w:r w:rsidRPr="00331EFA">
        <w:rPr>
          <w:rFonts w:ascii="Times New Roman" w:hAnsi="Times New Roman" w:cs="Times New Roman"/>
          <w:sz w:val="24"/>
          <w:szCs w:val="24"/>
        </w:rPr>
        <w:t>R</w:t>
      </w:r>
      <w:r>
        <w:rPr>
          <w:rFonts w:ascii="Times New Roman" w:hAnsi="Times New Roman" w:cs="Times New Roman"/>
          <w:sz w:val="24"/>
          <w:szCs w:val="24"/>
        </w:rPr>
        <w:t xml:space="preserve">escue </w:t>
      </w:r>
      <w:r w:rsidRPr="00331EFA">
        <w:rPr>
          <w:rFonts w:ascii="Times New Roman" w:hAnsi="Times New Roman" w:cs="Times New Roman"/>
          <w:sz w:val="24"/>
          <w:szCs w:val="24"/>
        </w:rPr>
        <w:t>S</w:t>
      </w:r>
      <w:r>
        <w:rPr>
          <w:rFonts w:ascii="Times New Roman" w:hAnsi="Times New Roman" w:cs="Times New Roman"/>
          <w:sz w:val="24"/>
          <w:szCs w:val="24"/>
        </w:rPr>
        <w:t xml:space="preserve">ervice website at the following link: </w:t>
      </w:r>
      <w:hyperlink r:id="rId9" w:history="1">
        <w:r w:rsidRPr="002F4303">
          <w:rPr>
            <w:rStyle w:val="Hyperlink"/>
            <w:rFonts w:ascii="Times New Roman" w:hAnsi="Times New Roman" w:cs="Times New Roman"/>
            <w:sz w:val="24"/>
            <w:szCs w:val="24"/>
          </w:rPr>
          <w:t>http://mfrs.govmu.org/English/Statistics/Pages/default.aspx</w:t>
        </w:r>
      </w:hyperlink>
      <w:r w:rsidRPr="002F4303">
        <w:rPr>
          <w:rFonts w:ascii="Times New Roman" w:hAnsi="Times New Roman" w:cs="Times New Roman"/>
          <w:sz w:val="24"/>
          <w:szCs w:val="24"/>
        </w:rPr>
        <w:t>,</w:t>
      </w:r>
      <w:r>
        <w:rPr>
          <w:rFonts w:ascii="Times New Roman" w:hAnsi="Times New Roman" w:cs="Times New Roman"/>
          <w:sz w:val="24"/>
          <w:szCs w:val="24"/>
        </w:rPr>
        <w:t xml:space="preserve"> and can be accessed from the Statistics Mauritius website at: </w:t>
      </w:r>
      <w:hyperlink r:id="rId10" w:history="1">
        <w:r w:rsidRPr="00704C4D">
          <w:rPr>
            <w:rStyle w:val="Hyperlink"/>
            <w:rFonts w:ascii="Times New Roman" w:hAnsi="Times New Roman" w:cs="Times New Roman"/>
            <w:sz w:val="24"/>
            <w:szCs w:val="24"/>
          </w:rPr>
          <w:t>http://statsmauritius.govmu.org/English/StatsbySubj/Pages/default.aspx</w:t>
        </w:r>
      </w:hyperlink>
    </w:p>
    <w:p w:rsidR="00DF534E" w:rsidRDefault="00DF534E" w:rsidP="00DF534E">
      <w:pPr>
        <w:tabs>
          <w:tab w:val="left" w:pos="0"/>
        </w:tabs>
        <w:spacing w:after="0" w:line="276" w:lineRule="auto"/>
        <w:jc w:val="both"/>
        <w:rPr>
          <w:rFonts w:ascii="Times New Roman" w:hAnsi="Times New Roman" w:cs="Times New Roman"/>
          <w:bCs/>
          <w:sz w:val="24"/>
          <w:szCs w:val="24"/>
        </w:rPr>
      </w:pPr>
    </w:p>
    <w:p w:rsidR="00A521CA" w:rsidRDefault="00A521CA" w:rsidP="00DF534E">
      <w:pPr>
        <w:tabs>
          <w:tab w:val="left" w:pos="0"/>
        </w:tabs>
        <w:spacing w:after="0" w:line="276" w:lineRule="auto"/>
        <w:jc w:val="both"/>
        <w:rPr>
          <w:rFonts w:ascii="Times New Roman" w:hAnsi="Times New Roman" w:cs="Times New Roman"/>
          <w:bCs/>
          <w:sz w:val="24"/>
          <w:szCs w:val="24"/>
        </w:rPr>
      </w:pPr>
    </w:p>
    <w:p w:rsidR="00A521CA" w:rsidRDefault="00A521CA" w:rsidP="00DF534E">
      <w:pPr>
        <w:tabs>
          <w:tab w:val="left" w:pos="0"/>
        </w:tabs>
        <w:spacing w:after="0" w:line="276" w:lineRule="auto"/>
        <w:jc w:val="both"/>
        <w:rPr>
          <w:rFonts w:ascii="Times New Roman" w:hAnsi="Times New Roman" w:cs="Times New Roman"/>
          <w:bCs/>
          <w:sz w:val="24"/>
          <w:szCs w:val="24"/>
        </w:rPr>
      </w:pPr>
    </w:p>
    <w:p w:rsidR="00A521CA" w:rsidRDefault="00A521CA" w:rsidP="00DF534E">
      <w:pPr>
        <w:tabs>
          <w:tab w:val="left" w:pos="0"/>
        </w:tabs>
        <w:spacing w:after="0" w:line="276" w:lineRule="auto"/>
        <w:jc w:val="both"/>
        <w:rPr>
          <w:rFonts w:ascii="Times New Roman" w:hAnsi="Times New Roman" w:cs="Times New Roman"/>
          <w:bCs/>
          <w:sz w:val="24"/>
          <w:szCs w:val="24"/>
        </w:rPr>
      </w:pPr>
    </w:p>
    <w:p w:rsidR="00A521CA" w:rsidRDefault="00A521CA" w:rsidP="00DF534E">
      <w:pPr>
        <w:tabs>
          <w:tab w:val="left" w:pos="0"/>
        </w:tabs>
        <w:spacing w:after="0" w:line="276" w:lineRule="auto"/>
        <w:jc w:val="both"/>
        <w:rPr>
          <w:rFonts w:ascii="Times New Roman" w:hAnsi="Times New Roman" w:cs="Times New Roman"/>
          <w:bCs/>
          <w:sz w:val="24"/>
          <w:szCs w:val="24"/>
        </w:rPr>
      </w:pPr>
    </w:p>
    <w:p w:rsidR="00A521CA" w:rsidRDefault="00A521CA" w:rsidP="00DF534E">
      <w:pPr>
        <w:tabs>
          <w:tab w:val="left" w:pos="0"/>
        </w:tabs>
        <w:spacing w:after="0" w:line="276" w:lineRule="auto"/>
        <w:jc w:val="both"/>
        <w:rPr>
          <w:rFonts w:ascii="Times New Roman" w:hAnsi="Times New Roman" w:cs="Times New Roman"/>
          <w:bCs/>
          <w:sz w:val="24"/>
          <w:szCs w:val="24"/>
        </w:rPr>
      </w:pPr>
    </w:p>
    <w:p w:rsidR="00A521CA" w:rsidRDefault="00A521CA" w:rsidP="00DF534E">
      <w:pPr>
        <w:tabs>
          <w:tab w:val="left" w:pos="0"/>
        </w:tabs>
        <w:spacing w:after="0" w:line="276" w:lineRule="auto"/>
        <w:jc w:val="both"/>
        <w:rPr>
          <w:rFonts w:ascii="Times New Roman" w:hAnsi="Times New Roman" w:cs="Times New Roman"/>
          <w:bCs/>
          <w:sz w:val="24"/>
          <w:szCs w:val="24"/>
        </w:rPr>
      </w:pPr>
    </w:p>
    <w:p w:rsidR="00A521CA" w:rsidRDefault="00A521CA" w:rsidP="00DF534E">
      <w:pPr>
        <w:tabs>
          <w:tab w:val="left" w:pos="0"/>
        </w:tabs>
        <w:spacing w:after="0" w:line="276" w:lineRule="auto"/>
        <w:jc w:val="both"/>
        <w:rPr>
          <w:rFonts w:ascii="Times New Roman" w:hAnsi="Times New Roman" w:cs="Times New Roman"/>
          <w:bCs/>
          <w:sz w:val="24"/>
          <w:szCs w:val="24"/>
        </w:rPr>
      </w:pPr>
    </w:p>
    <w:p w:rsidR="00A521CA" w:rsidRDefault="00A521CA" w:rsidP="00DF534E">
      <w:pPr>
        <w:tabs>
          <w:tab w:val="left" w:pos="0"/>
        </w:tabs>
        <w:spacing w:after="0" w:line="276" w:lineRule="auto"/>
        <w:jc w:val="both"/>
        <w:rPr>
          <w:rFonts w:ascii="Times New Roman" w:hAnsi="Times New Roman" w:cs="Times New Roman"/>
          <w:bCs/>
          <w:sz w:val="24"/>
          <w:szCs w:val="24"/>
        </w:rPr>
      </w:pPr>
    </w:p>
    <w:p w:rsidR="00A521CA" w:rsidRDefault="00A521CA" w:rsidP="00DF534E">
      <w:pPr>
        <w:tabs>
          <w:tab w:val="left" w:pos="0"/>
        </w:tabs>
        <w:spacing w:after="0" w:line="276" w:lineRule="auto"/>
        <w:jc w:val="both"/>
        <w:rPr>
          <w:rFonts w:ascii="Times New Roman" w:hAnsi="Times New Roman" w:cs="Times New Roman"/>
          <w:bCs/>
          <w:sz w:val="24"/>
          <w:szCs w:val="24"/>
        </w:rPr>
      </w:pPr>
    </w:p>
    <w:p w:rsidR="00973C47" w:rsidRDefault="00973C47" w:rsidP="00DF534E">
      <w:pPr>
        <w:tabs>
          <w:tab w:val="left" w:pos="0"/>
        </w:tabs>
        <w:spacing w:after="0" w:line="276" w:lineRule="auto"/>
        <w:jc w:val="both"/>
        <w:rPr>
          <w:rFonts w:ascii="Times New Roman" w:hAnsi="Times New Roman" w:cs="Times New Roman"/>
          <w:bCs/>
          <w:sz w:val="24"/>
          <w:szCs w:val="24"/>
        </w:rPr>
      </w:pPr>
    </w:p>
    <w:p w:rsidR="00973C47" w:rsidRDefault="00973C47" w:rsidP="00DF534E">
      <w:pPr>
        <w:tabs>
          <w:tab w:val="left" w:pos="0"/>
        </w:tabs>
        <w:spacing w:after="0" w:line="276" w:lineRule="auto"/>
        <w:jc w:val="both"/>
        <w:rPr>
          <w:rFonts w:ascii="Times New Roman" w:hAnsi="Times New Roman" w:cs="Times New Roman"/>
          <w:bCs/>
          <w:sz w:val="24"/>
          <w:szCs w:val="24"/>
        </w:rPr>
      </w:pPr>
    </w:p>
    <w:p w:rsidR="00A521CA" w:rsidRDefault="00A521CA" w:rsidP="00DF534E">
      <w:pPr>
        <w:tabs>
          <w:tab w:val="left" w:pos="0"/>
        </w:tabs>
        <w:spacing w:after="0" w:line="276" w:lineRule="auto"/>
        <w:jc w:val="both"/>
        <w:rPr>
          <w:rFonts w:ascii="Times New Roman" w:hAnsi="Times New Roman" w:cs="Times New Roman"/>
          <w:bCs/>
          <w:sz w:val="24"/>
          <w:szCs w:val="24"/>
        </w:rPr>
      </w:pPr>
    </w:p>
    <w:p w:rsidR="00A521CA" w:rsidRDefault="00A521CA" w:rsidP="00DF534E">
      <w:pPr>
        <w:tabs>
          <w:tab w:val="left" w:pos="0"/>
        </w:tabs>
        <w:spacing w:after="0" w:line="276" w:lineRule="auto"/>
        <w:jc w:val="both"/>
        <w:rPr>
          <w:rFonts w:ascii="Times New Roman" w:hAnsi="Times New Roman" w:cs="Times New Roman"/>
          <w:bCs/>
          <w:sz w:val="24"/>
          <w:szCs w:val="24"/>
        </w:rPr>
      </w:pPr>
    </w:p>
    <w:p w:rsidR="00A521CA" w:rsidRDefault="00A521CA" w:rsidP="00DF534E">
      <w:pPr>
        <w:tabs>
          <w:tab w:val="left" w:pos="0"/>
        </w:tabs>
        <w:spacing w:after="0" w:line="276" w:lineRule="auto"/>
        <w:jc w:val="both"/>
        <w:rPr>
          <w:rFonts w:ascii="Times New Roman" w:hAnsi="Times New Roman" w:cs="Times New Roman"/>
          <w:bCs/>
          <w:sz w:val="24"/>
          <w:szCs w:val="24"/>
        </w:rPr>
      </w:pPr>
    </w:p>
    <w:p w:rsidR="00A521CA" w:rsidRDefault="00A521CA" w:rsidP="00DF534E">
      <w:pPr>
        <w:tabs>
          <w:tab w:val="left" w:pos="0"/>
        </w:tabs>
        <w:spacing w:after="0" w:line="276" w:lineRule="auto"/>
        <w:jc w:val="both"/>
        <w:rPr>
          <w:rFonts w:ascii="Times New Roman" w:hAnsi="Times New Roman" w:cs="Times New Roman"/>
          <w:bCs/>
          <w:sz w:val="24"/>
          <w:szCs w:val="24"/>
        </w:rPr>
      </w:pPr>
    </w:p>
    <w:p w:rsidR="00BF7B0F" w:rsidRPr="006950F0" w:rsidRDefault="00BF7B0F" w:rsidP="00C70E77">
      <w:pPr>
        <w:numPr>
          <w:ilvl w:val="0"/>
          <w:numId w:val="2"/>
        </w:numPr>
        <w:tabs>
          <w:tab w:val="left" w:pos="360"/>
        </w:tabs>
        <w:ind w:left="0" w:firstLine="0"/>
        <w:rPr>
          <w:rFonts w:ascii="Times New Roman" w:hAnsi="Times New Roman" w:cs="Times New Roman"/>
          <w:b/>
          <w:bCs/>
          <w:sz w:val="24"/>
          <w:szCs w:val="24"/>
        </w:rPr>
      </w:pPr>
      <w:r>
        <w:rPr>
          <w:rFonts w:ascii="Times New Roman" w:hAnsi="Times New Roman" w:cs="Times New Roman"/>
          <w:b/>
          <w:bCs/>
          <w:sz w:val="24"/>
          <w:szCs w:val="24"/>
        </w:rPr>
        <w:lastRenderedPageBreak/>
        <w:t>Highlights</w:t>
      </w:r>
    </w:p>
    <w:p w:rsidR="00BF7B0F" w:rsidRDefault="00BF7B0F" w:rsidP="00BF7B0F">
      <w:pPr>
        <w:pStyle w:val="ListParagraph"/>
        <w:widowControl/>
        <w:numPr>
          <w:ilvl w:val="0"/>
          <w:numId w:val="3"/>
        </w:numPr>
        <w:overflowPunct/>
        <w:adjustRightInd/>
        <w:spacing w:after="200" w:line="276" w:lineRule="auto"/>
        <w:contextualSpacing/>
        <w:jc w:val="both"/>
        <w:rPr>
          <w:rFonts w:ascii="Times New Roman" w:hAnsi="Times New Roman" w:cs="Times New Roman"/>
          <w:sz w:val="24"/>
          <w:szCs w:val="24"/>
        </w:rPr>
      </w:pPr>
      <w:r w:rsidRPr="00F02618">
        <w:rPr>
          <w:rFonts w:ascii="Times New Roman" w:hAnsi="Times New Roman" w:cs="Times New Roman"/>
          <w:sz w:val="24"/>
          <w:szCs w:val="24"/>
        </w:rPr>
        <w:t>The Mauritius Fire and Rescue Service attended 9,847 fire incidents and special assistance in Mauritius during 2015.  This was 1,281 lower (12%) than in 2014.</w:t>
      </w:r>
    </w:p>
    <w:p w:rsidR="00BF7B0F" w:rsidRPr="00F02618" w:rsidRDefault="00BF7B0F" w:rsidP="00BF7B0F">
      <w:pPr>
        <w:pStyle w:val="ListParagraph"/>
        <w:widowControl/>
        <w:overflowPunct/>
        <w:adjustRightInd/>
        <w:spacing w:after="200" w:line="276" w:lineRule="auto"/>
        <w:contextualSpacing/>
        <w:jc w:val="both"/>
        <w:rPr>
          <w:rFonts w:ascii="Times New Roman" w:hAnsi="Times New Roman" w:cs="Times New Roman"/>
          <w:sz w:val="24"/>
          <w:szCs w:val="24"/>
        </w:rPr>
      </w:pPr>
    </w:p>
    <w:p w:rsidR="00BF7B0F" w:rsidRDefault="00BF7B0F" w:rsidP="00B86734">
      <w:pPr>
        <w:pStyle w:val="ListParagraph"/>
        <w:widowControl/>
        <w:numPr>
          <w:ilvl w:val="0"/>
          <w:numId w:val="3"/>
        </w:numPr>
        <w:overflowPunct/>
        <w:adjustRightInd/>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The average time taken by th</w:t>
      </w:r>
      <w:r w:rsidRPr="00F02618">
        <w:rPr>
          <w:rFonts w:ascii="Times New Roman" w:hAnsi="Times New Roman" w:cs="Times New Roman"/>
          <w:sz w:val="24"/>
          <w:szCs w:val="24"/>
        </w:rPr>
        <w:t xml:space="preserve">e fire crew </w:t>
      </w:r>
      <w:r>
        <w:rPr>
          <w:rFonts w:ascii="Times New Roman" w:hAnsi="Times New Roman" w:cs="Times New Roman"/>
          <w:sz w:val="24"/>
          <w:szCs w:val="24"/>
        </w:rPr>
        <w:t>t</w:t>
      </w:r>
      <w:r w:rsidRPr="00F02618">
        <w:rPr>
          <w:rFonts w:ascii="Times New Roman" w:hAnsi="Times New Roman" w:cs="Times New Roman"/>
          <w:sz w:val="24"/>
          <w:szCs w:val="24"/>
        </w:rPr>
        <w:t xml:space="preserve">o reach the incident </w:t>
      </w:r>
      <w:r w:rsidR="00B86734">
        <w:rPr>
          <w:rFonts w:ascii="Times New Roman" w:hAnsi="Times New Roman" w:cs="Times New Roman"/>
          <w:sz w:val="24"/>
          <w:szCs w:val="24"/>
        </w:rPr>
        <w:t>location</w:t>
      </w:r>
      <w:r w:rsidRPr="00F02618">
        <w:rPr>
          <w:rFonts w:ascii="Times New Roman" w:hAnsi="Times New Roman" w:cs="Times New Roman"/>
          <w:sz w:val="24"/>
          <w:szCs w:val="24"/>
        </w:rPr>
        <w:t xml:space="preserve"> </w:t>
      </w:r>
      <w:r>
        <w:rPr>
          <w:rFonts w:ascii="Times New Roman" w:hAnsi="Times New Roman" w:cs="Times New Roman"/>
          <w:sz w:val="24"/>
          <w:szCs w:val="24"/>
        </w:rPr>
        <w:t xml:space="preserve">improved from 8 </w:t>
      </w:r>
      <w:r w:rsidR="00B86734">
        <w:rPr>
          <w:rFonts w:ascii="Times New Roman" w:hAnsi="Times New Roman" w:cs="Times New Roman"/>
          <w:sz w:val="24"/>
          <w:szCs w:val="24"/>
        </w:rPr>
        <w:t xml:space="preserve">minutes </w:t>
      </w:r>
      <w:r>
        <w:rPr>
          <w:rFonts w:ascii="Times New Roman" w:hAnsi="Times New Roman" w:cs="Times New Roman"/>
          <w:sz w:val="24"/>
          <w:szCs w:val="24"/>
        </w:rPr>
        <w:t xml:space="preserve">in 2014 to 7 </w:t>
      </w:r>
      <w:r w:rsidRPr="00F02618">
        <w:rPr>
          <w:rFonts w:ascii="Times New Roman" w:hAnsi="Times New Roman" w:cs="Times New Roman"/>
          <w:sz w:val="24"/>
          <w:szCs w:val="24"/>
        </w:rPr>
        <w:t>minutes</w:t>
      </w:r>
      <w:r>
        <w:rPr>
          <w:rFonts w:ascii="Times New Roman" w:hAnsi="Times New Roman" w:cs="Times New Roman"/>
          <w:sz w:val="24"/>
          <w:szCs w:val="24"/>
        </w:rPr>
        <w:t xml:space="preserve"> in 2015.</w:t>
      </w:r>
    </w:p>
    <w:p w:rsidR="00B86734" w:rsidRPr="00B86734" w:rsidRDefault="00B86734" w:rsidP="00B86734">
      <w:pPr>
        <w:pStyle w:val="ListParagraph"/>
        <w:spacing w:after="0" w:line="240" w:lineRule="auto"/>
        <w:rPr>
          <w:rFonts w:ascii="Times New Roman" w:hAnsi="Times New Roman" w:cs="Times New Roman"/>
          <w:sz w:val="24"/>
          <w:szCs w:val="24"/>
        </w:rPr>
      </w:pPr>
    </w:p>
    <w:p w:rsidR="00BF7B0F" w:rsidRPr="00F02618" w:rsidRDefault="00BF7B0F" w:rsidP="00B86734">
      <w:pPr>
        <w:pStyle w:val="ListParagraph"/>
        <w:widowControl/>
        <w:numPr>
          <w:ilvl w:val="0"/>
          <w:numId w:val="3"/>
        </w:numPr>
        <w:overflowPunct/>
        <w:adjustRightInd/>
        <w:spacing w:after="0" w:line="276" w:lineRule="auto"/>
        <w:contextualSpacing/>
        <w:jc w:val="both"/>
        <w:rPr>
          <w:rFonts w:ascii="Times New Roman" w:hAnsi="Times New Roman" w:cs="Times New Roman"/>
          <w:sz w:val="24"/>
          <w:szCs w:val="24"/>
        </w:rPr>
      </w:pPr>
      <w:r w:rsidRPr="006D34AA">
        <w:rPr>
          <w:rFonts w:ascii="Times New Roman" w:hAnsi="Times New Roman" w:cs="Times New Roman"/>
          <w:sz w:val="24"/>
          <w:szCs w:val="24"/>
        </w:rPr>
        <w:t>Out of the 6,143 fire outbreak attended in 2015, 54% were outside fire</w:t>
      </w:r>
      <w:r>
        <w:rPr>
          <w:rFonts w:ascii="Times New Roman" w:hAnsi="Times New Roman" w:cs="Times New Roman"/>
          <w:sz w:val="24"/>
          <w:szCs w:val="24"/>
        </w:rPr>
        <w:t xml:space="preserve">, </w:t>
      </w:r>
      <w:r w:rsidRPr="006D34AA">
        <w:rPr>
          <w:rFonts w:ascii="Times New Roman" w:hAnsi="Times New Roman" w:cs="Times New Roman"/>
          <w:sz w:val="24"/>
          <w:szCs w:val="24"/>
        </w:rPr>
        <w:t>34% were sugar cane fire</w:t>
      </w:r>
      <w:r>
        <w:rPr>
          <w:rFonts w:ascii="Times New Roman" w:hAnsi="Times New Roman" w:cs="Times New Roman"/>
          <w:sz w:val="24"/>
          <w:szCs w:val="24"/>
        </w:rPr>
        <w:t xml:space="preserve"> and </w:t>
      </w:r>
      <w:r w:rsidRPr="006D34AA">
        <w:rPr>
          <w:rFonts w:ascii="Times New Roman" w:hAnsi="Times New Roman" w:cs="Times New Roman"/>
          <w:sz w:val="24"/>
          <w:szCs w:val="24"/>
        </w:rPr>
        <w:t>10% were structural fire</w:t>
      </w:r>
      <w:r>
        <w:rPr>
          <w:rFonts w:ascii="Times New Roman" w:hAnsi="Times New Roman" w:cs="Times New Roman"/>
          <w:sz w:val="24"/>
          <w:szCs w:val="24"/>
        </w:rPr>
        <w:t>.</w:t>
      </w:r>
      <w:r w:rsidR="00B86734">
        <w:rPr>
          <w:rFonts w:ascii="Times New Roman" w:hAnsi="Times New Roman" w:cs="Times New Roman"/>
          <w:sz w:val="24"/>
          <w:szCs w:val="24"/>
        </w:rPr>
        <w:t xml:space="preserve">  The number of fire outbreak</w:t>
      </w:r>
      <w:r w:rsidRPr="00F02618">
        <w:rPr>
          <w:rFonts w:ascii="Times New Roman" w:hAnsi="Times New Roman" w:cs="Times New Roman"/>
          <w:sz w:val="24"/>
          <w:szCs w:val="24"/>
        </w:rPr>
        <w:t xml:space="preserve"> was </w:t>
      </w:r>
      <w:r>
        <w:rPr>
          <w:rFonts w:ascii="Times New Roman" w:hAnsi="Times New Roman" w:cs="Times New Roman"/>
          <w:sz w:val="24"/>
          <w:szCs w:val="24"/>
        </w:rPr>
        <w:t xml:space="preserve">2,226 </w:t>
      </w:r>
      <w:r w:rsidRPr="00F02618">
        <w:rPr>
          <w:rFonts w:ascii="Times New Roman" w:hAnsi="Times New Roman" w:cs="Times New Roman"/>
          <w:sz w:val="24"/>
          <w:szCs w:val="24"/>
        </w:rPr>
        <w:t>lower (2</w:t>
      </w:r>
      <w:r>
        <w:rPr>
          <w:rFonts w:ascii="Times New Roman" w:hAnsi="Times New Roman" w:cs="Times New Roman"/>
          <w:sz w:val="24"/>
          <w:szCs w:val="24"/>
        </w:rPr>
        <w:t>7</w:t>
      </w:r>
      <w:r w:rsidRPr="00F02618">
        <w:rPr>
          <w:rFonts w:ascii="Times New Roman" w:hAnsi="Times New Roman" w:cs="Times New Roman"/>
          <w:sz w:val="24"/>
          <w:szCs w:val="24"/>
        </w:rPr>
        <w:t>%) than the previous year.</w:t>
      </w:r>
    </w:p>
    <w:p w:rsidR="00BF7B0F" w:rsidRDefault="00BF7B0F" w:rsidP="00BF7B0F">
      <w:pPr>
        <w:pStyle w:val="ListParagraph"/>
        <w:widowControl/>
        <w:overflowPunct/>
        <w:adjustRightInd/>
        <w:spacing w:after="200" w:line="276" w:lineRule="auto"/>
        <w:contextualSpacing/>
        <w:jc w:val="both"/>
        <w:rPr>
          <w:rFonts w:ascii="Times New Roman" w:hAnsi="Times New Roman" w:cs="Times New Roman"/>
          <w:sz w:val="24"/>
          <w:szCs w:val="24"/>
        </w:rPr>
      </w:pPr>
    </w:p>
    <w:p w:rsidR="00BF7B0F" w:rsidRDefault="00BF7B0F" w:rsidP="00BF7B0F">
      <w:pPr>
        <w:pStyle w:val="ListParagraph"/>
        <w:widowControl/>
        <w:numPr>
          <w:ilvl w:val="0"/>
          <w:numId w:val="3"/>
        </w:numPr>
        <w:overflowPunct/>
        <w:adjustRightInd/>
        <w:spacing w:after="200" w:line="276" w:lineRule="auto"/>
        <w:contextualSpacing/>
        <w:jc w:val="both"/>
        <w:rPr>
          <w:rFonts w:ascii="Times New Roman" w:hAnsi="Times New Roman" w:cs="Times New Roman"/>
          <w:sz w:val="24"/>
          <w:szCs w:val="24"/>
        </w:rPr>
      </w:pPr>
      <w:r w:rsidRPr="00F02618">
        <w:rPr>
          <w:rFonts w:ascii="Times New Roman" w:hAnsi="Times New Roman" w:cs="Times New Roman"/>
          <w:sz w:val="24"/>
          <w:szCs w:val="24"/>
        </w:rPr>
        <w:t xml:space="preserve">During 2015, </w:t>
      </w:r>
      <w:r>
        <w:rPr>
          <w:rFonts w:ascii="Times New Roman" w:hAnsi="Times New Roman" w:cs="Times New Roman"/>
          <w:sz w:val="24"/>
          <w:szCs w:val="24"/>
        </w:rPr>
        <w:t xml:space="preserve">the </w:t>
      </w:r>
      <w:r w:rsidRPr="00F02618">
        <w:rPr>
          <w:rFonts w:ascii="Times New Roman" w:hAnsi="Times New Roman" w:cs="Times New Roman"/>
          <w:sz w:val="24"/>
          <w:szCs w:val="24"/>
        </w:rPr>
        <w:t xml:space="preserve">Fire and Rescue Service </w:t>
      </w:r>
      <w:r w:rsidR="00C70E77">
        <w:rPr>
          <w:rFonts w:ascii="Times New Roman" w:hAnsi="Times New Roman" w:cs="Times New Roman"/>
          <w:sz w:val="24"/>
          <w:szCs w:val="24"/>
        </w:rPr>
        <w:t>attended around 3,704</w:t>
      </w:r>
      <w:r w:rsidR="00B86734">
        <w:rPr>
          <w:rFonts w:ascii="Times New Roman" w:hAnsi="Times New Roman" w:cs="Times New Roman"/>
          <w:sz w:val="24"/>
          <w:szCs w:val="24"/>
        </w:rPr>
        <w:t xml:space="preserve"> </w:t>
      </w:r>
      <w:r w:rsidRPr="00F02618">
        <w:rPr>
          <w:rFonts w:ascii="Times New Roman" w:hAnsi="Times New Roman" w:cs="Times New Roman"/>
          <w:sz w:val="24"/>
          <w:szCs w:val="24"/>
        </w:rPr>
        <w:t>special assistance</w:t>
      </w:r>
      <w:r>
        <w:rPr>
          <w:rFonts w:ascii="Times New Roman" w:hAnsi="Times New Roman" w:cs="Times New Roman"/>
          <w:sz w:val="24"/>
          <w:szCs w:val="24"/>
        </w:rPr>
        <w:t xml:space="preserve"> incidents.</w:t>
      </w:r>
      <w:r w:rsidRPr="00F02618">
        <w:rPr>
          <w:rFonts w:ascii="Times New Roman" w:hAnsi="Times New Roman" w:cs="Times New Roman"/>
          <w:sz w:val="24"/>
          <w:szCs w:val="24"/>
        </w:rPr>
        <w:t xml:space="preserve"> This was 945 more (34%) compared to </w:t>
      </w:r>
      <w:r>
        <w:rPr>
          <w:rFonts w:ascii="Times New Roman" w:hAnsi="Times New Roman" w:cs="Times New Roman"/>
          <w:sz w:val="24"/>
          <w:szCs w:val="24"/>
        </w:rPr>
        <w:t>2014</w:t>
      </w:r>
      <w:r w:rsidRPr="00F02618">
        <w:rPr>
          <w:rFonts w:ascii="Times New Roman" w:hAnsi="Times New Roman" w:cs="Times New Roman"/>
          <w:sz w:val="24"/>
          <w:szCs w:val="24"/>
        </w:rPr>
        <w:t>.</w:t>
      </w:r>
    </w:p>
    <w:p w:rsidR="00BF7B0F" w:rsidRDefault="00BF7B0F" w:rsidP="00BF7B0F">
      <w:pPr>
        <w:pStyle w:val="ListParagraph"/>
        <w:widowControl/>
        <w:overflowPunct/>
        <w:adjustRightInd/>
        <w:spacing w:after="200" w:line="276" w:lineRule="auto"/>
        <w:contextualSpacing/>
        <w:jc w:val="both"/>
        <w:rPr>
          <w:rFonts w:ascii="Times New Roman" w:hAnsi="Times New Roman" w:cs="Times New Roman"/>
          <w:sz w:val="24"/>
          <w:szCs w:val="24"/>
        </w:rPr>
      </w:pPr>
    </w:p>
    <w:p w:rsidR="00BF7B0F" w:rsidRDefault="00F63AAD" w:rsidP="00BF7B0F">
      <w:pPr>
        <w:pStyle w:val="ListParagraph"/>
        <w:widowControl/>
        <w:numPr>
          <w:ilvl w:val="0"/>
          <w:numId w:val="3"/>
        </w:numPr>
        <w:overflowPunct/>
        <w:adjustRightInd/>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There were 3,704 </w:t>
      </w:r>
      <w:r w:rsidR="00B86734">
        <w:rPr>
          <w:rFonts w:ascii="Times New Roman" w:hAnsi="Times New Roman" w:cs="Times New Roman"/>
          <w:sz w:val="24"/>
          <w:szCs w:val="24"/>
        </w:rPr>
        <w:t xml:space="preserve">special assistance attended </w:t>
      </w:r>
      <w:r w:rsidR="0086653C">
        <w:rPr>
          <w:rFonts w:ascii="Times New Roman" w:hAnsi="Times New Roman" w:cs="Times New Roman"/>
          <w:sz w:val="24"/>
          <w:szCs w:val="24"/>
        </w:rPr>
        <w:t>out of which</w:t>
      </w:r>
      <w:r w:rsidR="00B86734">
        <w:rPr>
          <w:rFonts w:ascii="Times New Roman" w:hAnsi="Times New Roman" w:cs="Times New Roman"/>
          <w:sz w:val="24"/>
          <w:szCs w:val="24"/>
        </w:rPr>
        <w:t xml:space="preserve"> </w:t>
      </w:r>
      <w:r w:rsidR="00BF7B0F">
        <w:rPr>
          <w:rFonts w:ascii="Times New Roman" w:hAnsi="Times New Roman" w:cs="Times New Roman"/>
          <w:sz w:val="24"/>
          <w:szCs w:val="24"/>
        </w:rPr>
        <w:t>30</w:t>
      </w:r>
      <w:r w:rsidR="00B86734">
        <w:rPr>
          <w:rFonts w:ascii="Times New Roman" w:hAnsi="Times New Roman" w:cs="Times New Roman"/>
          <w:sz w:val="24"/>
          <w:szCs w:val="24"/>
        </w:rPr>
        <w:t xml:space="preserve">% </w:t>
      </w:r>
      <w:r w:rsidR="00BF7B0F">
        <w:rPr>
          <w:rFonts w:ascii="Times New Roman" w:hAnsi="Times New Roman" w:cs="Times New Roman"/>
          <w:sz w:val="24"/>
          <w:szCs w:val="24"/>
        </w:rPr>
        <w:t>were</w:t>
      </w:r>
      <w:r w:rsidR="00B86734">
        <w:rPr>
          <w:rFonts w:ascii="Times New Roman" w:hAnsi="Times New Roman" w:cs="Times New Roman"/>
          <w:sz w:val="24"/>
          <w:szCs w:val="24"/>
        </w:rPr>
        <w:t xml:space="preserve"> </w:t>
      </w:r>
      <w:r w:rsidR="00BF7B0F">
        <w:rPr>
          <w:rFonts w:ascii="Times New Roman" w:hAnsi="Times New Roman" w:cs="Times New Roman"/>
          <w:sz w:val="24"/>
          <w:szCs w:val="24"/>
        </w:rPr>
        <w:t>pumping due to accumulation of water</w:t>
      </w:r>
      <w:r w:rsidR="00BF7B0F" w:rsidRPr="00F02618">
        <w:rPr>
          <w:rFonts w:ascii="Times New Roman" w:hAnsi="Times New Roman" w:cs="Times New Roman"/>
          <w:sz w:val="24"/>
          <w:szCs w:val="24"/>
        </w:rPr>
        <w:t xml:space="preserve">.  </w:t>
      </w:r>
      <w:r w:rsidR="00B86734">
        <w:rPr>
          <w:rFonts w:ascii="Times New Roman" w:hAnsi="Times New Roman" w:cs="Times New Roman"/>
          <w:sz w:val="24"/>
          <w:szCs w:val="24"/>
        </w:rPr>
        <w:t xml:space="preserve">Some </w:t>
      </w:r>
      <w:r w:rsidR="00BF7B0F">
        <w:rPr>
          <w:rFonts w:ascii="Times New Roman" w:hAnsi="Times New Roman" w:cs="Times New Roman"/>
          <w:sz w:val="24"/>
          <w:szCs w:val="24"/>
        </w:rPr>
        <w:t>595</w:t>
      </w:r>
      <w:r w:rsidR="00B86734">
        <w:rPr>
          <w:rFonts w:ascii="Times New Roman" w:hAnsi="Times New Roman" w:cs="Times New Roman"/>
          <w:sz w:val="24"/>
          <w:szCs w:val="24"/>
        </w:rPr>
        <w:t xml:space="preserve"> </w:t>
      </w:r>
      <w:r w:rsidR="00BF7B0F">
        <w:rPr>
          <w:rFonts w:ascii="Times New Roman" w:hAnsi="Times New Roman" w:cs="Times New Roman"/>
          <w:sz w:val="24"/>
          <w:szCs w:val="24"/>
        </w:rPr>
        <w:t xml:space="preserve">more </w:t>
      </w:r>
      <w:r w:rsidR="00B86734">
        <w:rPr>
          <w:rFonts w:ascii="Times New Roman" w:hAnsi="Times New Roman" w:cs="Times New Roman"/>
          <w:sz w:val="24"/>
          <w:szCs w:val="24"/>
        </w:rPr>
        <w:t xml:space="preserve">turn outs for accumulation of water were registered </w:t>
      </w:r>
      <w:r w:rsidR="00442019">
        <w:rPr>
          <w:rFonts w:ascii="Times New Roman" w:hAnsi="Times New Roman" w:cs="Times New Roman"/>
          <w:sz w:val="24"/>
          <w:szCs w:val="24"/>
        </w:rPr>
        <w:t>than in 2014</w:t>
      </w:r>
      <w:r w:rsidR="00BF7B0F" w:rsidRPr="00F02618">
        <w:rPr>
          <w:rFonts w:ascii="Times New Roman" w:hAnsi="Times New Roman" w:cs="Times New Roman"/>
          <w:sz w:val="24"/>
          <w:szCs w:val="24"/>
        </w:rPr>
        <w:t>.</w:t>
      </w:r>
    </w:p>
    <w:p w:rsidR="00BF7B0F" w:rsidRDefault="00BF7B0F" w:rsidP="00B86734">
      <w:pPr>
        <w:pStyle w:val="ListParagraph"/>
        <w:widowControl/>
        <w:overflowPunct/>
        <w:adjustRightInd/>
        <w:spacing w:after="200" w:line="276" w:lineRule="auto"/>
        <w:contextualSpacing/>
        <w:jc w:val="both"/>
        <w:rPr>
          <w:rFonts w:ascii="Times New Roman" w:hAnsi="Times New Roman" w:cs="Times New Roman"/>
          <w:sz w:val="24"/>
          <w:szCs w:val="24"/>
        </w:rPr>
      </w:pPr>
    </w:p>
    <w:p w:rsidR="00BF7B0F" w:rsidRDefault="00B86734" w:rsidP="00B86734">
      <w:pPr>
        <w:pStyle w:val="ListParagraph"/>
        <w:widowControl/>
        <w:numPr>
          <w:ilvl w:val="0"/>
          <w:numId w:val="3"/>
        </w:numPr>
        <w:overflowPunct/>
        <w:adjustRightInd/>
        <w:spacing w:after="200" w:line="276" w:lineRule="auto"/>
        <w:contextualSpacing/>
        <w:jc w:val="both"/>
        <w:rPr>
          <w:rFonts w:ascii="Times New Roman" w:hAnsi="Times New Roman" w:cs="Times New Roman"/>
          <w:sz w:val="24"/>
          <w:szCs w:val="24"/>
        </w:rPr>
      </w:pPr>
      <w:r w:rsidRPr="00B86734">
        <w:rPr>
          <w:rFonts w:ascii="Times New Roman" w:hAnsi="Times New Roman" w:cs="Times New Roman"/>
          <w:sz w:val="24"/>
          <w:szCs w:val="24"/>
        </w:rPr>
        <w:t>Some</w:t>
      </w:r>
      <w:r w:rsidR="00BF7B0F" w:rsidRPr="00B86734">
        <w:rPr>
          <w:rFonts w:ascii="Times New Roman" w:hAnsi="Times New Roman" w:cs="Times New Roman"/>
          <w:sz w:val="24"/>
          <w:szCs w:val="24"/>
        </w:rPr>
        <w:t xml:space="preserve"> </w:t>
      </w:r>
      <w:r w:rsidR="00B304C6" w:rsidRPr="00B86734">
        <w:rPr>
          <w:rFonts w:ascii="Times New Roman" w:hAnsi="Times New Roman" w:cs="Times New Roman"/>
          <w:sz w:val="24"/>
          <w:szCs w:val="24"/>
        </w:rPr>
        <w:t xml:space="preserve">760 </w:t>
      </w:r>
      <w:r w:rsidR="00BF7B0F" w:rsidRPr="00B86734">
        <w:rPr>
          <w:rFonts w:ascii="Times New Roman" w:hAnsi="Times New Roman" w:cs="Times New Roman"/>
          <w:sz w:val="24"/>
          <w:szCs w:val="24"/>
        </w:rPr>
        <w:t xml:space="preserve">applications </w:t>
      </w:r>
      <w:r w:rsidRPr="00B86734">
        <w:rPr>
          <w:rFonts w:ascii="Times New Roman" w:hAnsi="Times New Roman" w:cs="Times New Roman"/>
          <w:sz w:val="24"/>
          <w:szCs w:val="24"/>
        </w:rPr>
        <w:t xml:space="preserve">were </w:t>
      </w:r>
      <w:r w:rsidR="00BF7B0F" w:rsidRPr="00B86734">
        <w:rPr>
          <w:rFonts w:ascii="Times New Roman" w:hAnsi="Times New Roman" w:cs="Times New Roman"/>
          <w:sz w:val="24"/>
          <w:szCs w:val="24"/>
        </w:rPr>
        <w:t>received for fire cert</w:t>
      </w:r>
      <w:r w:rsidR="00B304C6" w:rsidRPr="00B86734">
        <w:rPr>
          <w:rFonts w:ascii="Times New Roman" w:hAnsi="Times New Roman" w:cs="Times New Roman"/>
          <w:sz w:val="24"/>
          <w:szCs w:val="24"/>
        </w:rPr>
        <w:t>ificate and</w:t>
      </w:r>
      <w:r w:rsidRPr="00B86734">
        <w:rPr>
          <w:rFonts w:ascii="Times New Roman" w:hAnsi="Times New Roman" w:cs="Times New Roman"/>
          <w:sz w:val="24"/>
          <w:szCs w:val="24"/>
        </w:rPr>
        <w:t xml:space="preserve"> </w:t>
      </w:r>
      <w:r w:rsidR="00B304C6" w:rsidRPr="00B86734">
        <w:rPr>
          <w:rFonts w:ascii="Times New Roman" w:hAnsi="Times New Roman" w:cs="Times New Roman"/>
          <w:sz w:val="24"/>
          <w:szCs w:val="24"/>
        </w:rPr>
        <w:t>1,481</w:t>
      </w:r>
      <w:r w:rsidRPr="00B86734">
        <w:rPr>
          <w:rFonts w:ascii="Times New Roman" w:hAnsi="Times New Roman" w:cs="Times New Roman"/>
          <w:sz w:val="24"/>
          <w:szCs w:val="24"/>
        </w:rPr>
        <w:t xml:space="preserve"> for </w:t>
      </w:r>
      <w:r w:rsidR="00BF7B0F" w:rsidRPr="00B86734">
        <w:rPr>
          <w:rFonts w:ascii="Times New Roman" w:hAnsi="Times New Roman" w:cs="Times New Roman"/>
          <w:sz w:val="24"/>
          <w:szCs w:val="24"/>
        </w:rPr>
        <w:t>fire clearance</w:t>
      </w:r>
      <w:r w:rsidRPr="00B86734">
        <w:rPr>
          <w:rFonts w:ascii="Times New Roman" w:hAnsi="Times New Roman" w:cs="Times New Roman"/>
          <w:sz w:val="24"/>
          <w:szCs w:val="24"/>
        </w:rPr>
        <w:t xml:space="preserve">.  The number of fire certificate issued with respect to total applications received increase from 687 in 2014 to 840 in </w:t>
      </w:r>
      <w:r w:rsidR="00BF7B0F" w:rsidRPr="00B86734">
        <w:rPr>
          <w:rFonts w:ascii="Times New Roman" w:hAnsi="Times New Roman" w:cs="Times New Roman"/>
          <w:sz w:val="24"/>
          <w:szCs w:val="24"/>
        </w:rPr>
        <w:t>2015.</w:t>
      </w:r>
      <w:r>
        <w:rPr>
          <w:rFonts w:ascii="Times New Roman" w:hAnsi="Times New Roman" w:cs="Times New Roman"/>
          <w:sz w:val="24"/>
          <w:szCs w:val="24"/>
        </w:rPr>
        <w:t xml:space="preserve"> The number of fire clearance issued was</w:t>
      </w:r>
      <w:r w:rsidR="009932A5">
        <w:rPr>
          <w:rFonts w:ascii="Times New Roman" w:hAnsi="Times New Roman" w:cs="Times New Roman"/>
          <w:sz w:val="24"/>
          <w:szCs w:val="24"/>
        </w:rPr>
        <w:t xml:space="preserve"> 1,373 compared to 1,044 in 2014</w:t>
      </w:r>
      <w:r>
        <w:rPr>
          <w:rFonts w:ascii="Times New Roman" w:hAnsi="Times New Roman" w:cs="Times New Roman"/>
          <w:sz w:val="24"/>
          <w:szCs w:val="24"/>
        </w:rPr>
        <w:t>.</w:t>
      </w:r>
      <w:r w:rsidR="00BF7B0F" w:rsidRPr="00B86734">
        <w:rPr>
          <w:rFonts w:ascii="Times New Roman" w:hAnsi="Times New Roman" w:cs="Times New Roman"/>
          <w:sz w:val="24"/>
          <w:szCs w:val="24"/>
        </w:rPr>
        <w:t xml:space="preserve">  </w:t>
      </w:r>
    </w:p>
    <w:p w:rsidR="00B86734" w:rsidRPr="00B86734" w:rsidRDefault="00B86734" w:rsidP="00B86734">
      <w:pPr>
        <w:pStyle w:val="ListParagraph"/>
        <w:spacing w:after="0" w:line="276" w:lineRule="auto"/>
        <w:rPr>
          <w:rFonts w:ascii="Times New Roman" w:hAnsi="Times New Roman" w:cs="Times New Roman"/>
          <w:sz w:val="24"/>
          <w:szCs w:val="24"/>
        </w:rPr>
      </w:pPr>
    </w:p>
    <w:p w:rsidR="00BF7B0F" w:rsidRPr="00950BED" w:rsidRDefault="00BF7B0F" w:rsidP="00BF7B0F">
      <w:pPr>
        <w:pStyle w:val="ListParagraph"/>
        <w:widowControl/>
        <w:numPr>
          <w:ilvl w:val="0"/>
          <w:numId w:val="3"/>
        </w:numPr>
        <w:overflowPunct/>
        <w:adjustRightInd/>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w:t>
      </w:r>
      <w:r w:rsidRPr="00101C5B">
        <w:rPr>
          <w:rFonts w:ascii="Times New Roman" w:hAnsi="Times New Roman" w:cs="Times New Roman"/>
          <w:sz w:val="24"/>
          <w:szCs w:val="24"/>
        </w:rPr>
        <w:t>Mauritius Fire and Rescue Service undertook 528 public education activities in Mauritius during 2015</w:t>
      </w:r>
      <w:r w:rsidR="007816E1">
        <w:rPr>
          <w:rFonts w:ascii="Times New Roman" w:hAnsi="Times New Roman" w:cs="Times New Roman"/>
          <w:sz w:val="24"/>
          <w:szCs w:val="24"/>
        </w:rPr>
        <w:t>.</w:t>
      </w:r>
    </w:p>
    <w:p w:rsidR="00DF534E" w:rsidRDefault="00DF534E" w:rsidP="00DF534E">
      <w:pPr>
        <w:widowControl/>
        <w:overflowPunct/>
        <w:adjustRightInd/>
        <w:spacing w:before="120" w:after="0" w:line="276" w:lineRule="auto"/>
        <w:jc w:val="both"/>
        <w:rPr>
          <w:rFonts w:ascii="Times New Roman" w:hAnsi="Times New Roman" w:cs="Times New Roman"/>
          <w:kern w:val="0"/>
          <w:sz w:val="16"/>
          <w:szCs w:val="16"/>
        </w:rPr>
      </w:pPr>
    </w:p>
    <w:p w:rsidR="00A521CA" w:rsidRDefault="00A521CA" w:rsidP="00DF534E">
      <w:pPr>
        <w:widowControl/>
        <w:overflowPunct/>
        <w:adjustRightInd/>
        <w:spacing w:before="120" w:after="0" w:line="276" w:lineRule="auto"/>
        <w:jc w:val="both"/>
        <w:rPr>
          <w:rFonts w:ascii="Times New Roman" w:hAnsi="Times New Roman" w:cs="Times New Roman"/>
          <w:kern w:val="0"/>
          <w:sz w:val="16"/>
          <w:szCs w:val="16"/>
        </w:rPr>
      </w:pPr>
    </w:p>
    <w:p w:rsidR="00A521CA" w:rsidRDefault="00A521CA" w:rsidP="00DF534E">
      <w:pPr>
        <w:widowControl/>
        <w:overflowPunct/>
        <w:adjustRightInd/>
        <w:spacing w:before="120" w:after="0" w:line="276" w:lineRule="auto"/>
        <w:jc w:val="both"/>
        <w:rPr>
          <w:rFonts w:ascii="Times New Roman" w:hAnsi="Times New Roman" w:cs="Times New Roman"/>
          <w:kern w:val="0"/>
          <w:sz w:val="16"/>
          <w:szCs w:val="16"/>
        </w:rPr>
      </w:pPr>
    </w:p>
    <w:p w:rsidR="00A521CA" w:rsidRDefault="00A521CA" w:rsidP="00DF534E">
      <w:pPr>
        <w:widowControl/>
        <w:overflowPunct/>
        <w:adjustRightInd/>
        <w:spacing w:before="120" w:after="0" w:line="276" w:lineRule="auto"/>
        <w:jc w:val="both"/>
        <w:rPr>
          <w:rFonts w:ascii="Times New Roman" w:hAnsi="Times New Roman" w:cs="Times New Roman"/>
          <w:kern w:val="0"/>
          <w:sz w:val="16"/>
          <w:szCs w:val="16"/>
        </w:rPr>
      </w:pPr>
    </w:p>
    <w:p w:rsidR="00A521CA" w:rsidRDefault="00A521CA" w:rsidP="00DF534E">
      <w:pPr>
        <w:widowControl/>
        <w:overflowPunct/>
        <w:adjustRightInd/>
        <w:spacing w:before="120" w:after="0" w:line="276" w:lineRule="auto"/>
        <w:jc w:val="both"/>
        <w:rPr>
          <w:rFonts w:ascii="Times New Roman" w:hAnsi="Times New Roman" w:cs="Times New Roman"/>
          <w:kern w:val="0"/>
          <w:sz w:val="16"/>
          <w:szCs w:val="16"/>
        </w:rPr>
      </w:pPr>
    </w:p>
    <w:p w:rsidR="00A521CA" w:rsidRDefault="00A521CA" w:rsidP="00DF534E">
      <w:pPr>
        <w:widowControl/>
        <w:overflowPunct/>
        <w:adjustRightInd/>
        <w:spacing w:before="120" w:after="0" w:line="276" w:lineRule="auto"/>
        <w:jc w:val="both"/>
        <w:rPr>
          <w:rFonts w:ascii="Times New Roman" w:hAnsi="Times New Roman" w:cs="Times New Roman"/>
          <w:kern w:val="0"/>
          <w:sz w:val="16"/>
          <w:szCs w:val="16"/>
        </w:rPr>
      </w:pPr>
    </w:p>
    <w:p w:rsidR="00A521CA" w:rsidRDefault="00A521CA" w:rsidP="00DF534E">
      <w:pPr>
        <w:widowControl/>
        <w:overflowPunct/>
        <w:adjustRightInd/>
        <w:spacing w:before="120" w:after="0" w:line="276" w:lineRule="auto"/>
        <w:jc w:val="both"/>
        <w:rPr>
          <w:rFonts w:ascii="Times New Roman" w:hAnsi="Times New Roman" w:cs="Times New Roman"/>
          <w:kern w:val="0"/>
          <w:sz w:val="16"/>
          <w:szCs w:val="16"/>
        </w:rPr>
      </w:pPr>
    </w:p>
    <w:p w:rsidR="00A521CA" w:rsidRDefault="00A521CA" w:rsidP="00DF534E">
      <w:pPr>
        <w:widowControl/>
        <w:overflowPunct/>
        <w:adjustRightInd/>
        <w:spacing w:before="120" w:after="0" w:line="276" w:lineRule="auto"/>
        <w:jc w:val="both"/>
        <w:rPr>
          <w:rFonts w:ascii="Times New Roman" w:hAnsi="Times New Roman" w:cs="Times New Roman"/>
          <w:kern w:val="0"/>
          <w:sz w:val="16"/>
          <w:szCs w:val="16"/>
        </w:rPr>
      </w:pPr>
    </w:p>
    <w:p w:rsidR="00A521CA" w:rsidRDefault="00A521CA" w:rsidP="00DF534E">
      <w:pPr>
        <w:widowControl/>
        <w:overflowPunct/>
        <w:adjustRightInd/>
        <w:spacing w:before="120" w:after="0" w:line="276" w:lineRule="auto"/>
        <w:jc w:val="both"/>
        <w:rPr>
          <w:rFonts w:ascii="Times New Roman" w:hAnsi="Times New Roman" w:cs="Times New Roman"/>
          <w:kern w:val="0"/>
          <w:sz w:val="16"/>
          <w:szCs w:val="16"/>
        </w:rPr>
      </w:pPr>
    </w:p>
    <w:p w:rsidR="00A521CA" w:rsidRDefault="00A521CA" w:rsidP="00DF534E">
      <w:pPr>
        <w:widowControl/>
        <w:overflowPunct/>
        <w:adjustRightInd/>
        <w:spacing w:before="120" w:after="0" w:line="276" w:lineRule="auto"/>
        <w:jc w:val="both"/>
        <w:rPr>
          <w:rFonts w:ascii="Times New Roman" w:hAnsi="Times New Roman" w:cs="Times New Roman"/>
          <w:kern w:val="0"/>
          <w:sz w:val="16"/>
          <w:szCs w:val="16"/>
        </w:rPr>
      </w:pPr>
    </w:p>
    <w:p w:rsidR="00A521CA" w:rsidRDefault="00A521CA" w:rsidP="00DF534E">
      <w:pPr>
        <w:widowControl/>
        <w:overflowPunct/>
        <w:adjustRightInd/>
        <w:spacing w:before="120" w:after="0" w:line="276" w:lineRule="auto"/>
        <w:jc w:val="both"/>
        <w:rPr>
          <w:rFonts w:ascii="Times New Roman" w:hAnsi="Times New Roman" w:cs="Times New Roman"/>
          <w:kern w:val="0"/>
          <w:sz w:val="16"/>
          <w:szCs w:val="16"/>
        </w:rPr>
      </w:pPr>
    </w:p>
    <w:p w:rsidR="00A521CA" w:rsidRDefault="00A521CA" w:rsidP="00DF534E">
      <w:pPr>
        <w:widowControl/>
        <w:overflowPunct/>
        <w:adjustRightInd/>
        <w:spacing w:before="120" w:after="0" w:line="276" w:lineRule="auto"/>
        <w:jc w:val="both"/>
        <w:rPr>
          <w:rFonts w:ascii="Times New Roman" w:hAnsi="Times New Roman" w:cs="Times New Roman"/>
          <w:kern w:val="0"/>
          <w:sz w:val="16"/>
          <w:szCs w:val="16"/>
        </w:rPr>
      </w:pPr>
    </w:p>
    <w:p w:rsidR="003E172B" w:rsidRDefault="003E172B" w:rsidP="00DF534E">
      <w:pPr>
        <w:widowControl/>
        <w:overflowPunct/>
        <w:adjustRightInd/>
        <w:spacing w:before="120" w:after="0" w:line="276" w:lineRule="auto"/>
        <w:jc w:val="both"/>
        <w:rPr>
          <w:rFonts w:ascii="Times New Roman" w:hAnsi="Times New Roman" w:cs="Times New Roman"/>
          <w:kern w:val="0"/>
          <w:sz w:val="16"/>
          <w:szCs w:val="16"/>
        </w:rPr>
      </w:pPr>
    </w:p>
    <w:p w:rsidR="003E172B" w:rsidRDefault="003E172B" w:rsidP="00DF534E">
      <w:pPr>
        <w:widowControl/>
        <w:overflowPunct/>
        <w:adjustRightInd/>
        <w:spacing w:before="120" w:after="0" w:line="276" w:lineRule="auto"/>
        <w:jc w:val="both"/>
        <w:rPr>
          <w:rFonts w:ascii="Times New Roman" w:hAnsi="Times New Roman" w:cs="Times New Roman"/>
          <w:kern w:val="0"/>
          <w:sz w:val="16"/>
          <w:szCs w:val="16"/>
        </w:rPr>
      </w:pPr>
    </w:p>
    <w:p w:rsidR="003E172B" w:rsidRDefault="003E172B" w:rsidP="00425A20">
      <w:pPr>
        <w:tabs>
          <w:tab w:val="left" w:pos="360"/>
        </w:tabs>
        <w:jc w:val="both"/>
        <w:rPr>
          <w:rFonts w:ascii="Times New Roman" w:hAnsi="Times New Roman" w:cs="Times New Roman"/>
          <w:b/>
          <w:color w:val="000000"/>
          <w:sz w:val="24"/>
          <w:szCs w:val="24"/>
        </w:rPr>
      </w:pPr>
    </w:p>
    <w:p w:rsidR="008A0913" w:rsidRPr="007E6166" w:rsidRDefault="008A0913" w:rsidP="00425A20">
      <w:pPr>
        <w:tabs>
          <w:tab w:val="left" w:pos="360"/>
        </w:tabs>
        <w:jc w:val="both"/>
        <w:rPr>
          <w:rFonts w:ascii="Times New Roman" w:hAnsi="Times New Roman" w:cs="Times New Roman"/>
          <w:b/>
          <w:color w:val="000000"/>
          <w:sz w:val="24"/>
          <w:szCs w:val="24"/>
        </w:rPr>
      </w:pPr>
      <w:r w:rsidRPr="007E6166">
        <w:rPr>
          <w:rFonts w:ascii="Times New Roman" w:hAnsi="Times New Roman" w:cs="Times New Roman"/>
          <w:b/>
          <w:color w:val="000000"/>
          <w:sz w:val="24"/>
          <w:szCs w:val="24"/>
        </w:rPr>
        <w:lastRenderedPageBreak/>
        <w:t xml:space="preserve">3. </w:t>
      </w:r>
      <w:r w:rsidR="008124CE">
        <w:rPr>
          <w:rFonts w:ascii="Times New Roman" w:hAnsi="Times New Roman" w:cs="Times New Roman"/>
          <w:b/>
          <w:color w:val="000000"/>
          <w:sz w:val="24"/>
          <w:szCs w:val="24"/>
        </w:rPr>
        <w:t xml:space="preserve"> </w:t>
      </w:r>
      <w:r w:rsidR="000D382A">
        <w:rPr>
          <w:rFonts w:ascii="Times New Roman" w:hAnsi="Times New Roman" w:cs="Times New Roman"/>
          <w:b/>
          <w:color w:val="000000"/>
          <w:sz w:val="24"/>
          <w:szCs w:val="24"/>
        </w:rPr>
        <w:t xml:space="preserve"> </w:t>
      </w:r>
      <w:r w:rsidRPr="007E6166">
        <w:rPr>
          <w:rFonts w:ascii="Times New Roman" w:hAnsi="Times New Roman" w:cs="Times New Roman"/>
          <w:b/>
          <w:color w:val="000000"/>
          <w:sz w:val="24"/>
          <w:szCs w:val="24"/>
        </w:rPr>
        <w:t>Average</w:t>
      </w:r>
      <w:r w:rsidR="00F63AAD">
        <w:rPr>
          <w:rFonts w:ascii="Times New Roman" w:hAnsi="Times New Roman" w:cs="Times New Roman"/>
          <w:b/>
          <w:color w:val="000000"/>
          <w:sz w:val="24"/>
          <w:szCs w:val="24"/>
        </w:rPr>
        <w:t xml:space="preserve"> </w:t>
      </w:r>
      <w:r w:rsidRPr="007E6166">
        <w:rPr>
          <w:rFonts w:ascii="Times New Roman" w:hAnsi="Times New Roman" w:cs="Times New Roman"/>
          <w:b/>
          <w:color w:val="000000"/>
          <w:sz w:val="24"/>
          <w:szCs w:val="24"/>
        </w:rPr>
        <w:t>time taken to reach incident spot</w:t>
      </w:r>
    </w:p>
    <w:p w:rsidR="00425A20" w:rsidRPr="00425A20" w:rsidRDefault="00425A20" w:rsidP="00425A20">
      <w:pPr>
        <w:jc w:val="both"/>
        <w:rPr>
          <w:rFonts w:ascii="Times New Roman" w:hAnsi="Times New Roman" w:cs="Times New Roman"/>
          <w:sz w:val="24"/>
          <w:szCs w:val="20"/>
        </w:rPr>
      </w:pPr>
      <w:r w:rsidRPr="00425A20">
        <w:rPr>
          <w:rFonts w:ascii="Times New Roman" w:hAnsi="Times New Roman" w:cs="Times New Roman"/>
          <w:sz w:val="24"/>
          <w:szCs w:val="20"/>
        </w:rPr>
        <w:t xml:space="preserve">One of the service performance indicators is the time taken to reach an incident </w:t>
      </w:r>
      <w:r w:rsidR="00B86734">
        <w:rPr>
          <w:rFonts w:ascii="Times New Roman" w:hAnsi="Times New Roman" w:cs="Times New Roman"/>
          <w:sz w:val="24"/>
          <w:szCs w:val="20"/>
        </w:rPr>
        <w:t>location</w:t>
      </w:r>
      <w:r w:rsidRPr="00425A20">
        <w:rPr>
          <w:rFonts w:ascii="Times New Roman" w:hAnsi="Times New Roman" w:cs="Times New Roman"/>
          <w:sz w:val="24"/>
          <w:szCs w:val="20"/>
        </w:rPr>
        <w:t xml:space="preserve"> most particularly in case of structural fires where human life may be at stake. The set target is 12 minutes. This indicator enables one to gauge the efficiency and the effectiveness of </w:t>
      </w:r>
      <w:r w:rsidR="00B86734">
        <w:rPr>
          <w:rFonts w:ascii="Times New Roman" w:hAnsi="Times New Roman" w:cs="Times New Roman"/>
          <w:sz w:val="24"/>
          <w:szCs w:val="20"/>
        </w:rPr>
        <w:t xml:space="preserve">the </w:t>
      </w:r>
      <w:r w:rsidRPr="00425A20">
        <w:rPr>
          <w:rFonts w:ascii="Times New Roman" w:hAnsi="Times New Roman" w:cs="Times New Roman"/>
          <w:sz w:val="24"/>
          <w:szCs w:val="20"/>
        </w:rPr>
        <w:t>Mauritius Fire and Rescue Service to promptly respond to an emergency situation. From data obtained with regards to structural fires for the year 2015, it is observed that on average, the fire crew took approximately 7 minutes to reach the location,</w:t>
      </w:r>
      <w:r w:rsidR="002072EF">
        <w:rPr>
          <w:rFonts w:ascii="Times New Roman" w:hAnsi="Times New Roman" w:cs="Times New Roman"/>
          <w:sz w:val="24"/>
          <w:szCs w:val="20"/>
        </w:rPr>
        <w:t xml:space="preserve"> compared to 8 minutes in </w:t>
      </w:r>
      <w:proofErr w:type="gramStart"/>
      <w:r w:rsidR="002072EF">
        <w:rPr>
          <w:rFonts w:ascii="Times New Roman" w:hAnsi="Times New Roman" w:cs="Times New Roman"/>
          <w:sz w:val="24"/>
          <w:szCs w:val="20"/>
        </w:rPr>
        <w:t xml:space="preserve">2014 </w:t>
      </w:r>
      <w:bookmarkStart w:id="0" w:name="_GoBack"/>
      <w:bookmarkEnd w:id="0"/>
      <w:r w:rsidRPr="00425A20">
        <w:rPr>
          <w:rFonts w:ascii="Times New Roman" w:hAnsi="Times New Roman" w:cs="Times New Roman"/>
          <w:sz w:val="24"/>
          <w:szCs w:val="20"/>
        </w:rPr>
        <w:t>.</w:t>
      </w:r>
      <w:proofErr w:type="gramEnd"/>
      <w:r w:rsidRPr="00425A20">
        <w:rPr>
          <w:rFonts w:ascii="Times New Roman" w:hAnsi="Times New Roman" w:cs="Times New Roman"/>
          <w:sz w:val="24"/>
          <w:szCs w:val="20"/>
        </w:rPr>
        <w:t xml:space="preserve"> Average time taken to reach incident places in Mauritius was at par with country such as England with a response time of 7 minutes 45 seconds to dwelling fires.</w:t>
      </w:r>
    </w:p>
    <w:p w:rsidR="00425A20" w:rsidRDefault="00425A20" w:rsidP="00425A20">
      <w:pPr>
        <w:jc w:val="both"/>
        <w:rPr>
          <w:rFonts w:ascii="Times New Roman" w:hAnsi="Times New Roman" w:cs="Times New Roman"/>
          <w:sz w:val="24"/>
          <w:szCs w:val="20"/>
        </w:rPr>
      </w:pPr>
      <w:r w:rsidRPr="00425A20">
        <w:rPr>
          <w:rFonts w:ascii="Times New Roman" w:hAnsi="Times New Roman" w:cs="Times New Roman"/>
          <w:sz w:val="24"/>
          <w:szCs w:val="20"/>
        </w:rPr>
        <w:t>The time taken by each fire station varies due to the area coverage and the ease of accessibility. The average response time was lower in predominantly urban areas.   Port Louis</w:t>
      </w:r>
      <w:r w:rsidR="00DB234D">
        <w:rPr>
          <w:rFonts w:ascii="Times New Roman" w:hAnsi="Times New Roman" w:cs="Times New Roman"/>
          <w:sz w:val="24"/>
          <w:szCs w:val="20"/>
        </w:rPr>
        <w:t xml:space="preserve"> Fire</w:t>
      </w:r>
      <w:r w:rsidRPr="00425A20">
        <w:rPr>
          <w:rFonts w:ascii="Times New Roman" w:hAnsi="Times New Roman" w:cs="Times New Roman"/>
          <w:sz w:val="24"/>
          <w:szCs w:val="20"/>
        </w:rPr>
        <w:t xml:space="preserve"> Station took 5 minutes to reach the incident location and for Coromandel </w:t>
      </w:r>
      <w:r w:rsidR="00DB234D">
        <w:rPr>
          <w:rFonts w:ascii="Times New Roman" w:hAnsi="Times New Roman" w:cs="Times New Roman"/>
          <w:sz w:val="24"/>
          <w:szCs w:val="20"/>
        </w:rPr>
        <w:t xml:space="preserve">Fire </w:t>
      </w:r>
      <w:r w:rsidRPr="00425A20">
        <w:rPr>
          <w:rFonts w:ascii="Times New Roman" w:hAnsi="Times New Roman" w:cs="Times New Roman"/>
          <w:sz w:val="24"/>
          <w:szCs w:val="20"/>
        </w:rPr>
        <w:t xml:space="preserve">Station, it was 6 minutes. St Aubin and Piton </w:t>
      </w:r>
      <w:r w:rsidR="00DB234D">
        <w:rPr>
          <w:rFonts w:ascii="Times New Roman" w:hAnsi="Times New Roman" w:cs="Times New Roman"/>
          <w:sz w:val="24"/>
          <w:szCs w:val="20"/>
        </w:rPr>
        <w:t xml:space="preserve">Fire </w:t>
      </w:r>
      <w:r w:rsidRPr="00425A20">
        <w:rPr>
          <w:rFonts w:ascii="Times New Roman" w:hAnsi="Times New Roman" w:cs="Times New Roman"/>
          <w:sz w:val="24"/>
          <w:szCs w:val="20"/>
        </w:rPr>
        <w:t xml:space="preserve">Station, being in rural areas, took around one or two minutes above the average time to reach the area of fire.  </w:t>
      </w:r>
    </w:p>
    <w:p w:rsidR="00425A20" w:rsidRDefault="00425A20" w:rsidP="00425A20">
      <w:pPr>
        <w:widowControl/>
        <w:overflowPunct/>
        <w:adjustRightInd/>
        <w:spacing w:after="0" w:line="240" w:lineRule="auto"/>
        <w:jc w:val="both"/>
        <w:rPr>
          <w:rFonts w:ascii="Times New Roman" w:hAnsi="Times New Roman" w:cs="Times New Roman"/>
          <w:b/>
          <w:bCs/>
          <w:color w:val="000000"/>
          <w:kern w:val="0"/>
          <w:sz w:val="28"/>
          <w:szCs w:val="28"/>
        </w:rPr>
      </w:pPr>
    </w:p>
    <w:p w:rsidR="00425A20" w:rsidRDefault="00425A20" w:rsidP="00425A20">
      <w:pPr>
        <w:numPr>
          <w:ilvl w:val="0"/>
          <w:numId w:val="1"/>
        </w:numPr>
        <w:tabs>
          <w:tab w:val="left" w:pos="360"/>
        </w:tabs>
        <w:ind w:left="0" w:firstLine="0"/>
        <w:jc w:val="both"/>
        <w:rPr>
          <w:rFonts w:ascii="Times New Roman" w:hAnsi="Times New Roman" w:cs="Times New Roman"/>
          <w:b/>
          <w:bCs/>
          <w:sz w:val="24"/>
          <w:szCs w:val="24"/>
        </w:rPr>
      </w:pPr>
      <w:r w:rsidRPr="003263DD">
        <w:rPr>
          <w:rFonts w:ascii="Times New Roman" w:hAnsi="Times New Roman" w:cs="Times New Roman"/>
          <w:b/>
          <w:bCs/>
          <w:sz w:val="24"/>
          <w:szCs w:val="24"/>
        </w:rPr>
        <w:t>Fi</w:t>
      </w:r>
      <w:r>
        <w:rPr>
          <w:rFonts w:ascii="Times New Roman" w:hAnsi="Times New Roman" w:cs="Times New Roman"/>
          <w:b/>
          <w:bCs/>
          <w:sz w:val="24"/>
          <w:szCs w:val="24"/>
        </w:rPr>
        <w:t>re and rescue service statistics</w:t>
      </w:r>
    </w:p>
    <w:p w:rsidR="00425A20" w:rsidRDefault="00425A20" w:rsidP="00425A20">
      <w:pPr>
        <w:pStyle w:val="ListParagraph"/>
        <w:widowControl/>
        <w:overflowPunct/>
        <w:adjustRightInd/>
        <w:spacing w:after="200" w:line="276" w:lineRule="auto"/>
        <w:ind w:left="0"/>
        <w:contextualSpacing/>
        <w:jc w:val="both"/>
        <w:rPr>
          <w:rFonts w:ascii="Times New Roman" w:hAnsi="Times New Roman" w:cs="Times New Roman"/>
          <w:sz w:val="24"/>
          <w:szCs w:val="20"/>
        </w:rPr>
      </w:pPr>
      <w:r w:rsidRPr="00425A20">
        <w:rPr>
          <w:rFonts w:ascii="Times New Roman" w:hAnsi="Times New Roman" w:cs="Times New Roman"/>
          <w:sz w:val="24"/>
          <w:szCs w:val="24"/>
        </w:rPr>
        <w:t>The Mauritius Fire and Rescue Service attended around 9,847 incidents in 2015, with 6,143 turn out</w:t>
      </w:r>
      <w:r w:rsidR="00B86734">
        <w:rPr>
          <w:rFonts w:ascii="Times New Roman" w:hAnsi="Times New Roman" w:cs="Times New Roman"/>
          <w:sz w:val="24"/>
          <w:szCs w:val="24"/>
        </w:rPr>
        <w:t>s</w:t>
      </w:r>
      <w:r w:rsidRPr="00425A20">
        <w:rPr>
          <w:rFonts w:ascii="Times New Roman" w:hAnsi="Times New Roman" w:cs="Times New Roman"/>
          <w:sz w:val="24"/>
          <w:szCs w:val="24"/>
        </w:rPr>
        <w:t xml:space="preserve"> for </w:t>
      </w:r>
      <w:proofErr w:type="spellStart"/>
      <w:r w:rsidRPr="00425A20">
        <w:rPr>
          <w:rFonts w:ascii="Times New Roman" w:hAnsi="Times New Roman" w:cs="Times New Roman"/>
          <w:sz w:val="24"/>
          <w:szCs w:val="24"/>
        </w:rPr>
        <w:t>firecalls</w:t>
      </w:r>
      <w:proofErr w:type="spellEnd"/>
      <w:r w:rsidRPr="00425A20">
        <w:rPr>
          <w:rFonts w:ascii="Times New Roman" w:hAnsi="Times New Roman" w:cs="Times New Roman"/>
          <w:sz w:val="24"/>
          <w:szCs w:val="24"/>
        </w:rPr>
        <w:t xml:space="preserve"> and 3,704 for special assistance. F</w:t>
      </w:r>
      <w:r w:rsidRPr="00425A20">
        <w:rPr>
          <w:rFonts w:ascii="Times New Roman" w:hAnsi="Times New Roman" w:cs="Times New Roman"/>
          <w:sz w:val="24"/>
          <w:szCs w:val="20"/>
        </w:rPr>
        <w:t>ire incidents accounted for around 62% of the fire and rescue services and special assistance was 38%.</w:t>
      </w:r>
    </w:p>
    <w:p w:rsidR="008A0913" w:rsidRDefault="00FA7363" w:rsidP="008A0913">
      <w:pPr>
        <w:widowControl/>
        <w:overflowPunct/>
        <w:adjustRightInd/>
        <w:spacing w:after="0" w:line="240" w:lineRule="auto"/>
        <w:jc w:val="both"/>
        <w:rPr>
          <w:rFonts w:ascii="Times New Roman" w:hAnsi="Times New Roman" w:cs="Times New Roman"/>
          <w:b/>
          <w:bCs/>
          <w:color w:val="000000"/>
          <w:kern w:val="0"/>
          <w:sz w:val="28"/>
          <w:szCs w:val="28"/>
        </w:rPr>
      </w:pPr>
      <w:r w:rsidRPr="006A180D">
        <w:rPr>
          <w:rFonts w:ascii="Times New Roman" w:hAnsi="Times New Roman" w:cs="Times New Roman"/>
          <w:noProof/>
        </w:rPr>
        <w:drawing>
          <wp:inline distT="0" distB="0" distL="0" distR="0" wp14:anchorId="54827708" wp14:editId="2C1D59BB">
            <wp:extent cx="5734050" cy="32670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25A20" w:rsidRDefault="00425A20" w:rsidP="008A0913">
      <w:pPr>
        <w:widowControl/>
        <w:overflowPunct/>
        <w:adjustRightInd/>
        <w:spacing w:after="0" w:line="240" w:lineRule="auto"/>
        <w:jc w:val="both"/>
        <w:rPr>
          <w:rFonts w:ascii="Times New Roman" w:hAnsi="Times New Roman" w:cs="Times New Roman"/>
          <w:b/>
          <w:bCs/>
          <w:color w:val="000000"/>
          <w:kern w:val="0"/>
          <w:sz w:val="28"/>
          <w:szCs w:val="28"/>
        </w:rPr>
      </w:pPr>
    </w:p>
    <w:p w:rsidR="00937C1E" w:rsidRDefault="00937C1E" w:rsidP="00937C1E">
      <w:pPr>
        <w:tabs>
          <w:tab w:val="left" w:pos="8910"/>
        </w:tabs>
        <w:ind w:right="119"/>
        <w:jc w:val="both"/>
        <w:rPr>
          <w:rFonts w:ascii="Times New Roman" w:hAnsi="Times New Roman" w:cs="Times New Roman"/>
          <w:sz w:val="24"/>
          <w:szCs w:val="20"/>
        </w:rPr>
      </w:pPr>
      <w:r w:rsidRPr="00937C1E">
        <w:rPr>
          <w:rFonts w:ascii="Times New Roman" w:hAnsi="Times New Roman" w:cs="Times New Roman"/>
          <w:sz w:val="24"/>
          <w:szCs w:val="20"/>
        </w:rPr>
        <w:t>From 2014 to 2015, the number of fire incidents and special assistance attended by the fire stations decreased by 12% from 11,128 to 9,847.</w:t>
      </w:r>
    </w:p>
    <w:p w:rsidR="00937C1E" w:rsidRDefault="00937C1E" w:rsidP="00937C1E">
      <w:pPr>
        <w:numPr>
          <w:ilvl w:val="0"/>
          <w:numId w:val="1"/>
        </w:numPr>
        <w:tabs>
          <w:tab w:val="left" w:pos="360"/>
        </w:tabs>
        <w:ind w:left="0" w:firstLine="0"/>
        <w:jc w:val="both"/>
        <w:rPr>
          <w:rFonts w:ascii="Times New Roman" w:hAnsi="Times New Roman" w:cs="Times New Roman"/>
          <w:b/>
          <w:bCs/>
          <w:sz w:val="24"/>
          <w:szCs w:val="24"/>
        </w:rPr>
      </w:pPr>
      <w:r w:rsidRPr="003263DD">
        <w:rPr>
          <w:rFonts w:ascii="Times New Roman" w:hAnsi="Times New Roman" w:cs="Times New Roman"/>
          <w:b/>
          <w:bCs/>
          <w:sz w:val="24"/>
          <w:szCs w:val="24"/>
        </w:rPr>
        <w:lastRenderedPageBreak/>
        <w:t>Fi</w:t>
      </w:r>
      <w:r>
        <w:rPr>
          <w:rFonts w:ascii="Times New Roman" w:hAnsi="Times New Roman" w:cs="Times New Roman"/>
          <w:b/>
          <w:bCs/>
          <w:sz w:val="24"/>
          <w:szCs w:val="24"/>
        </w:rPr>
        <w:t xml:space="preserve">re outbreak by type of </w:t>
      </w:r>
      <w:r w:rsidR="00B86734">
        <w:rPr>
          <w:rFonts w:ascii="Times New Roman" w:hAnsi="Times New Roman" w:cs="Times New Roman"/>
          <w:b/>
          <w:bCs/>
          <w:sz w:val="24"/>
          <w:szCs w:val="24"/>
        </w:rPr>
        <w:t>f</w:t>
      </w:r>
      <w:r>
        <w:rPr>
          <w:rFonts w:ascii="Times New Roman" w:hAnsi="Times New Roman" w:cs="Times New Roman"/>
          <w:b/>
          <w:bCs/>
          <w:sz w:val="24"/>
          <w:szCs w:val="24"/>
        </w:rPr>
        <w:t>ire incidents</w:t>
      </w:r>
    </w:p>
    <w:p w:rsidR="00937C1E" w:rsidRPr="00584572" w:rsidRDefault="00B86734" w:rsidP="00937C1E">
      <w:pPr>
        <w:tabs>
          <w:tab w:val="left" w:pos="8910"/>
        </w:tabs>
        <w:ind w:right="119"/>
        <w:jc w:val="both"/>
        <w:rPr>
          <w:rFonts w:ascii="Times New Roman" w:hAnsi="Times New Roman" w:cs="Times New Roman"/>
          <w:sz w:val="24"/>
          <w:szCs w:val="20"/>
        </w:rPr>
      </w:pPr>
      <w:r>
        <w:rPr>
          <w:rFonts w:ascii="Times New Roman" w:hAnsi="Times New Roman" w:cs="Times New Roman"/>
          <w:sz w:val="24"/>
          <w:szCs w:val="24"/>
        </w:rPr>
        <w:t>In 2015, out of the 6</w:t>
      </w:r>
      <w:r w:rsidR="00937C1E" w:rsidRPr="00584572">
        <w:rPr>
          <w:rFonts w:ascii="Times New Roman" w:hAnsi="Times New Roman" w:cs="Times New Roman"/>
          <w:sz w:val="24"/>
          <w:szCs w:val="24"/>
        </w:rPr>
        <w:t>,</w:t>
      </w:r>
      <w:r>
        <w:rPr>
          <w:rFonts w:ascii="Times New Roman" w:hAnsi="Times New Roman" w:cs="Times New Roman"/>
          <w:sz w:val="24"/>
          <w:szCs w:val="24"/>
        </w:rPr>
        <w:t>143</w:t>
      </w:r>
      <w:r w:rsidR="00937C1E" w:rsidRPr="00584572">
        <w:rPr>
          <w:rFonts w:ascii="Times New Roman" w:hAnsi="Times New Roman" w:cs="Times New Roman"/>
          <w:sz w:val="24"/>
          <w:szCs w:val="24"/>
        </w:rPr>
        <w:t xml:space="preserve"> fire incidents attended, the majority (54%) comprised of outside fire such as gra</w:t>
      </w:r>
      <w:r>
        <w:rPr>
          <w:rFonts w:ascii="Times New Roman" w:hAnsi="Times New Roman" w:cs="Times New Roman"/>
          <w:sz w:val="24"/>
          <w:szCs w:val="24"/>
        </w:rPr>
        <w:t>ss and rubbish fire followed by</w:t>
      </w:r>
      <w:r w:rsidR="00937C1E" w:rsidRPr="00584572">
        <w:rPr>
          <w:rFonts w:ascii="Times New Roman" w:hAnsi="Times New Roman" w:cs="Times New Roman"/>
          <w:sz w:val="24"/>
          <w:szCs w:val="24"/>
        </w:rPr>
        <w:t xml:space="preserve"> sugar cane (34%) and buildings (10%). </w:t>
      </w:r>
    </w:p>
    <w:p w:rsidR="00B86734" w:rsidRDefault="00B86734" w:rsidP="00937C1E">
      <w:pPr>
        <w:tabs>
          <w:tab w:val="left" w:pos="8910"/>
        </w:tabs>
        <w:ind w:right="119"/>
        <w:jc w:val="both"/>
        <w:rPr>
          <w:rFonts w:ascii="Times New Roman" w:hAnsi="Times New Roman" w:cs="Times New Roman"/>
          <w:sz w:val="24"/>
          <w:szCs w:val="20"/>
        </w:rPr>
      </w:pPr>
      <w:r>
        <w:rPr>
          <w:rFonts w:ascii="Times New Roman" w:hAnsi="Times New Roman" w:cs="Times New Roman"/>
          <w:sz w:val="24"/>
          <w:szCs w:val="20"/>
        </w:rPr>
        <w:t>A fall of 27</w:t>
      </w:r>
      <w:r w:rsidR="00937C1E" w:rsidRPr="00584572">
        <w:rPr>
          <w:rFonts w:ascii="Times New Roman" w:hAnsi="Times New Roman" w:cs="Times New Roman"/>
          <w:sz w:val="24"/>
          <w:szCs w:val="20"/>
        </w:rPr>
        <w:t xml:space="preserve">% in </w:t>
      </w:r>
      <w:r w:rsidR="00937C1E" w:rsidRPr="00584572">
        <w:rPr>
          <w:rFonts w:ascii="Times New Roman" w:hAnsi="Times New Roman" w:cs="Times New Roman"/>
          <w:bCs/>
          <w:sz w:val="24"/>
          <w:szCs w:val="24"/>
        </w:rPr>
        <w:t>the number of fire incidents dealt with by fire crews was registered from 8,369 to 6,143.  This can be explained</w:t>
      </w:r>
      <w:r w:rsidR="00937C1E" w:rsidRPr="00584572">
        <w:rPr>
          <w:rFonts w:ascii="Times New Roman" w:hAnsi="Times New Roman" w:cs="Times New Roman"/>
          <w:sz w:val="24"/>
          <w:szCs w:val="20"/>
        </w:rPr>
        <w:t xml:space="preserve"> mainly by decreases of 42% in grass fires from </w:t>
      </w:r>
      <w:r w:rsidR="00584572" w:rsidRPr="00584572">
        <w:rPr>
          <w:rFonts w:ascii="Times New Roman" w:hAnsi="Times New Roman" w:cs="Times New Roman"/>
          <w:sz w:val="24"/>
          <w:szCs w:val="20"/>
        </w:rPr>
        <w:t>2,762 t</w:t>
      </w:r>
      <w:r w:rsidR="00937C1E" w:rsidRPr="00584572">
        <w:rPr>
          <w:rFonts w:ascii="Times New Roman" w:hAnsi="Times New Roman" w:cs="Times New Roman"/>
          <w:sz w:val="24"/>
          <w:szCs w:val="20"/>
        </w:rPr>
        <w:t xml:space="preserve">o </w:t>
      </w:r>
      <w:r w:rsidR="00584572" w:rsidRPr="00584572">
        <w:rPr>
          <w:rFonts w:ascii="Times New Roman" w:hAnsi="Times New Roman" w:cs="Times New Roman"/>
          <w:sz w:val="24"/>
          <w:szCs w:val="20"/>
        </w:rPr>
        <w:t>1,599</w:t>
      </w:r>
      <w:r w:rsidR="00937C1E" w:rsidRPr="00584572">
        <w:rPr>
          <w:rFonts w:ascii="Times New Roman" w:hAnsi="Times New Roman" w:cs="Times New Roman"/>
          <w:sz w:val="24"/>
          <w:szCs w:val="20"/>
        </w:rPr>
        <w:t xml:space="preserve"> and 40% in forest/trees fires from </w:t>
      </w:r>
      <w:r w:rsidR="00584572" w:rsidRPr="00584572">
        <w:rPr>
          <w:rFonts w:ascii="Times New Roman" w:hAnsi="Times New Roman" w:cs="Times New Roman"/>
          <w:sz w:val="24"/>
          <w:szCs w:val="20"/>
        </w:rPr>
        <w:t>214</w:t>
      </w:r>
      <w:r w:rsidR="00937C1E" w:rsidRPr="00584572">
        <w:rPr>
          <w:rFonts w:ascii="Times New Roman" w:hAnsi="Times New Roman" w:cs="Times New Roman"/>
          <w:sz w:val="24"/>
          <w:szCs w:val="20"/>
        </w:rPr>
        <w:t xml:space="preserve"> to </w:t>
      </w:r>
      <w:r w:rsidR="00584572" w:rsidRPr="00584572">
        <w:rPr>
          <w:rFonts w:ascii="Times New Roman" w:hAnsi="Times New Roman" w:cs="Times New Roman"/>
          <w:sz w:val="24"/>
          <w:szCs w:val="20"/>
        </w:rPr>
        <w:t>129</w:t>
      </w:r>
      <w:r w:rsidR="00937C1E" w:rsidRPr="00584572">
        <w:rPr>
          <w:rFonts w:ascii="Times New Roman" w:hAnsi="Times New Roman" w:cs="Times New Roman"/>
          <w:sz w:val="24"/>
          <w:szCs w:val="20"/>
        </w:rPr>
        <w:t xml:space="preserve">. </w:t>
      </w:r>
      <w:r w:rsidR="00937C1E" w:rsidRPr="00584572">
        <w:rPr>
          <w:rFonts w:ascii="Times New Roman" w:hAnsi="Times New Roman" w:cs="Times New Roman"/>
          <w:sz w:val="24"/>
          <w:szCs w:val="24"/>
        </w:rPr>
        <w:t>Similarly, s</w:t>
      </w:r>
      <w:r w:rsidR="00937C1E" w:rsidRPr="00584572">
        <w:rPr>
          <w:rFonts w:ascii="Times New Roman" w:hAnsi="Times New Roman" w:cs="Times New Roman"/>
          <w:sz w:val="24"/>
          <w:szCs w:val="20"/>
        </w:rPr>
        <w:t>ugar cane fire went down by</w:t>
      </w:r>
      <w:r w:rsidR="00584572" w:rsidRPr="00584572">
        <w:rPr>
          <w:rFonts w:ascii="Times New Roman" w:hAnsi="Times New Roman" w:cs="Times New Roman"/>
          <w:sz w:val="24"/>
          <w:szCs w:val="20"/>
        </w:rPr>
        <w:t xml:space="preserve"> 725</w:t>
      </w:r>
      <w:r>
        <w:rPr>
          <w:rFonts w:ascii="Times New Roman" w:hAnsi="Times New Roman" w:cs="Times New Roman"/>
          <w:sz w:val="24"/>
          <w:szCs w:val="20"/>
        </w:rPr>
        <w:t xml:space="preserve"> </w:t>
      </w:r>
      <w:r w:rsidR="00937C1E" w:rsidRPr="00584572">
        <w:rPr>
          <w:rFonts w:ascii="Times New Roman" w:hAnsi="Times New Roman" w:cs="Times New Roman"/>
          <w:sz w:val="24"/>
          <w:szCs w:val="20"/>
        </w:rPr>
        <w:t xml:space="preserve">(26%) and rubbish fire by </w:t>
      </w:r>
      <w:r w:rsidR="00584572" w:rsidRPr="00584572">
        <w:rPr>
          <w:rFonts w:ascii="Times New Roman" w:hAnsi="Times New Roman" w:cs="Times New Roman"/>
          <w:sz w:val="24"/>
          <w:szCs w:val="20"/>
        </w:rPr>
        <w:t>305</w:t>
      </w:r>
      <w:r w:rsidR="00937C1E" w:rsidRPr="00584572">
        <w:rPr>
          <w:rFonts w:ascii="Times New Roman" w:hAnsi="Times New Roman" w:cs="Times New Roman"/>
          <w:sz w:val="24"/>
          <w:szCs w:val="20"/>
        </w:rPr>
        <w:t xml:space="preserve"> (18%).</w:t>
      </w:r>
      <w:r>
        <w:rPr>
          <w:rFonts w:ascii="Times New Roman" w:hAnsi="Times New Roman" w:cs="Times New Roman"/>
          <w:sz w:val="24"/>
          <w:szCs w:val="20"/>
        </w:rPr>
        <w:t xml:space="preserve">  An estimated number of around 9,054 acres of sugar cane field was damaged in 2015 as compared to 16,525 in 2014.</w:t>
      </w:r>
    </w:p>
    <w:p w:rsidR="00103FDE" w:rsidRPr="00584572" w:rsidRDefault="002B4E08" w:rsidP="00937C1E">
      <w:pPr>
        <w:tabs>
          <w:tab w:val="left" w:pos="8910"/>
        </w:tabs>
        <w:ind w:right="119"/>
        <w:jc w:val="both"/>
        <w:rPr>
          <w:rFonts w:ascii="Times New Roman" w:hAnsi="Times New Roman" w:cs="Times New Roman"/>
          <w:sz w:val="24"/>
          <w:szCs w:val="20"/>
        </w:rPr>
      </w:pPr>
      <w:r>
        <w:rPr>
          <w:noProof/>
        </w:rPr>
        <w:drawing>
          <wp:inline distT="0" distB="0" distL="0" distR="0">
            <wp:extent cx="5806440" cy="518922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50FFA" w:rsidRDefault="00750FFA" w:rsidP="00750FFA">
      <w:pPr>
        <w:widowControl/>
        <w:tabs>
          <w:tab w:val="left" w:pos="360"/>
          <w:tab w:val="left" w:pos="450"/>
        </w:tabs>
        <w:overflowPunct/>
        <w:adjustRightInd/>
        <w:spacing w:after="0" w:line="240" w:lineRule="auto"/>
        <w:jc w:val="both"/>
        <w:rPr>
          <w:rFonts w:ascii="Times New Roman" w:hAnsi="Times New Roman" w:cs="Times New Roman"/>
          <w:b/>
          <w:bCs/>
          <w:color w:val="000000"/>
          <w:kern w:val="0"/>
          <w:sz w:val="24"/>
          <w:szCs w:val="24"/>
        </w:rPr>
      </w:pPr>
    </w:p>
    <w:p w:rsidR="00750FFA" w:rsidRDefault="00750FFA" w:rsidP="00750FFA">
      <w:pPr>
        <w:widowControl/>
        <w:tabs>
          <w:tab w:val="left" w:pos="360"/>
          <w:tab w:val="left" w:pos="450"/>
        </w:tabs>
        <w:overflowPunct/>
        <w:adjustRightInd/>
        <w:spacing w:after="0" w:line="240" w:lineRule="auto"/>
        <w:jc w:val="both"/>
        <w:rPr>
          <w:rFonts w:ascii="Times New Roman" w:hAnsi="Times New Roman" w:cs="Times New Roman"/>
          <w:b/>
          <w:bCs/>
          <w:color w:val="000000"/>
          <w:kern w:val="0"/>
          <w:sz w:val="24"/>
          <w:szCs w:val="24"/>
        </w:rPr>
      </w:pPr>
    </w:p>
    <w:p w:rsidR="00750FFA" w:rsidRPr="002257BD" w:rsidRDefault="00103FDE" w:rsidP="00750FFA">
      <w:pPr>
        <w:widowControl/>
        <w:tabs>
          <w:tab w:val="left" w:pos="360"/>
          <w:tab w:val="left" w:pos="450"/>
        </w:tabs>
        <w:overflowPunct/>
        <w:adjustRightInd/>
        <w:spacing w:after="0" w:line="240" w:lineRule="auto"/>
        <w:jc w:val="both"/>
        <w:rPr>
          <w:rFonts w:ascii="Times New Roman" w:hAnsi="Times New Roman" w:cs="Times New Roman"/>
          <w:bCs/>
          <w:color w:val="000000"/>
          <w:kern w:val="0"/>
          <w:sz w:val="24"/>
          <w:szCs w:val="24"/>
        </w:rPr>
      </w:pPr>
      <w:r w:rsidRPr="002257BD">
        <w:rPr>
          <w:rFonts w:ascii="Times New Roman" w:hAnsi="Times New Roman" w:cs="Times New Roman"/>
          <w:bCs/>
          <w:color w:val="000000"/>
          <w:kern w:val="0"/>
          <w:sz w:val="24"/>
          <w:szCs w:val="24"/>
        </w:rPr>
        <w:t xml:space="preserve">On the other hand, there was a rise of 11% in residential </w:t>
      </w:r>
      <w:r w:rsidR="00B86734">
        <w:rPr>
          <w:rFonts w:ascii="Times New Roman" w:hAnsi="Times New Roman" w:cs="Times New Roman"/>
          <w:bCs/>
          <w:color w:val="000000"/>
          <w:kern w:val="0"/>
          <w:sz w:val="24"/>
          <w:szCs w:val="24"/>
        </w:rPr>
        <w:t>building</w:t>
      </w:r>
      <w:r w:rsidRPr="002257BD">
        <w:rPr>
          <w:rFonts w:ascii="Times New Roman" w:hAnsi="Times New Roman" w:cs="Times New Roman"/>
          <w:bCs/>
          <w:color w:val="000000"/>
          <w:kern w:val="0"/>
          <w:sz w:val="24"/>
          <w:szCs w:val="24"/>
        </w:rPr>
        <w:t xml:space="preserve"> fires from 388 </w:t>
      </w:r>
      <w:r w:rsidR="00B86734">
        <w:rPr>
          <w:rFonts w:ascii="Times New Roman" w:hAnsi="Times New Roman" w:cs="Times New Roman"/>
          <w:bCs/>
          <w:color w:val="000000"/>
          <w:kern w:val="0"/>
          <w:sz w:val="24"/>
          <w:szCs w:val="24"/>
        </w:rPr>
        <w:t xml:space="preserve">in 2014 </w:t>
      </w:r>
      <w:r w:rsidR="008A3542">
        <w:rPr>
          <w:rFonts w:ascii="Times New Roman" w:hAnsi="Times New Roman" w:cs="Times New Roman"/>
          <w:bCs/>
          <w:color w:val="000000"/>
          <w:kern w:val="0"/>
          <w:sz w:val="24"/>
          <w:szCs w:val="24"/>
        </w:rPr>
        <w:t>to 432 in 2015.  N</w:t>
      </w:r>
      <w:r w:rsidRPr="002257BD">
        <w:rPr>
          <w:rFonts w:ascii="Times New Roman" w:hAnsi="Times New Roman" w:cs="Times New Roman"/>
          <w:bCs/>
          <w:color w:val="000000"/>
          <w:kern w:val="0"/>
          <w:sz w:val="24"/>
          <w:szCs w:val="24"/>
        </w:rPr>
        <w:t xml:space="preserve">on-residential </w:t>
      </w:r>
      <w:r w:rsidR="00B86734">
        <w:rPr>
          <w:rFonts w:ascii="Times New Roman" w:hAnsi="Times New Roman" w:cs="Times New Roman"/>
          <w:bCs/>
          <w:color w:val="000000"/>
          <w:kern w:val="0"/>
          <w:sz w:val="24"/>
          <w:szCs w:val="24"/>
        </w:rPr>
        <w:t>building</w:t>
      </w:r>
      <w:r w:rsidRPr="002257BD">
        <w:rPr>
          <w:rFonts w:ascii="Times New Roman" w:hAnsi="Times New Roman" w:cs="Times New Roman"/>
          <w:bCs/>
          <w:color w:val="000000"/>
          <w:kern w:val="0"/>
          <w:sz w:val="24"/>
          <w:szCs w:val="24"/>
        </w:rPr>
        <w:t xml:space="preserve"> fires increased slightly</w:t>
      </w:r>
      <w:r w:rsidR="008A3542">
        <w:rPr>
          <w:rFonts w:ascii="Times New Roman" w:hAnsi="Times New Roman" w:cs="Times New Roman"/>
          <w:bCs/>
          <w:color w:val="000000"/>
          <w:kern w:val="0"/>
          <w:sz w:val="24"/>
          <w:szCs w:val="24"/>
        </w:rPr>
        <w:t xml:space="preserve"> </w:t>
      </w:r>
      <w:r w:rsidR="00015D46">
        <w:rPr>
          <w:rFonts w:ascii="Times New Roman" w:hAnsi="Times New Roman" w:cs="Times New Roman"/>
          <w:bCs/>
          <w:color w:val="000000"/>
          <w:kern w:val="0"/>
          <w:sz w:val="24"/>
          <w:szCs w:val="24"/>
        </w:rPr>
        <w:t xml:space="preserve">by </w:t>
      </w:r>
      <w:r w:rsidR="008A3542">
        <w:rPr>
          <w:rFonts w:ascii="Times New Roman" w:hAnsi="Times New Roman" w:cs="Times New Roman"/>
          <w:bCs/>
          <w:color w:val="000000"/>
          <w:kern w:val="0"/>
          <w:sz w:val="24"/>
          <w:szCs w:val="24"/>
        </w:rPr>
        <w:t>22%</w:t>
      </w:r>
      <w:r w:rsidRPr="002257BD">
        <w:rPr>
          <w:rFonts w:ascii="Times New Roman" w:hAnsi="Times New Roman" w:cs="Times New Roman"/>
          <w:bCs/>
          <w:color w:val="000000"/>
          <w:kern w:val="0"/>
          <w:sz w:val="24"/>
          <w:szCs w:val="24"/>
        </w:rPr>
        <w:t xml:space="preserve"> from 148 to</w:t>
      </w:r>
      <w:r w:rsidR="00B86734">
        <w:rPr>
          <w:rFonts w:ascii="Times New Roman" w:hAnsi="Times New Roman" w:cs="Times New Roman"/>
          <w:bCs/>
          <w:color w:val="000000"/>
          <w:kern w:val="0"/>
          <w:sz w:val="24"/>
          <w:szCs w:val="24"/>
        </w:rPr>
        <w:t xml:space="preserve"> </w:t>
      </w:r>
      <w:r w:rsidRPr="002257BD">
        <w:rPr>
          <w:rFonts w:ascii="Times New Roman" w:hAnsi="Times New Roman" w:cs="Times New Roman"/>
          <w:bCs/>
          <w:color w:val="000000"/>
          <w:kern w:val="0"/>
          <w:sz w:val="24"/>
          <w:szCs w:val="24"/>
        </w:rPr>
        <w:t>180.</w:t>
      </w:r>
    </w:p>
    <w:p w:rsidR="00103FDE" w:rsidRDefault="00103FDE" w:rsidP="00750FFA">
      <w:pPr>
        <w:widowControl/>
        <w:tabs>
          <w:tab w:val="left" w:pos="360"/>
          <w:tab w:val="left" w:pos="450"/>
        </w:tabs>
        <w:overflowPunct/>
        <w:adjustRightInd/>
        <w:spacing w:after="0" w:line="240" w:lineRule="auto"/>
        <w:jc w:val="both"/>
        <w:rPr>
          <w:rFonts w:ascii="Times New Roman" w:hAnsi="Times New Roman" w:cs="Times New Roman"/>
          <w:b/>
          <w:bCs/>
          <w:color w:val="000000"/>
          <w:kern w:val="0"/>
          <w:sz w:val="24"/>
          <w:szCs w:val="24"/>
        </w:rPr>
      </w:pPr>
    </w:p>
    <w:p w:rsidR="008A3542" w:rsidRDefault="008A3542" w:rsidP="00750FFA">
      <w:pPr>
        <w:widowControl/>
        <w:tabs>
          <w:tab w:val="left" w:pos="360"/>
          <w:tab w:val="left" w:pos="450"/>
        </w:tabs>
        <w:overflowPunct/>
        <w:adjustRightInd/>
        <w:spacing w:after="0" w:line="240" w:lineRule="auto"/>
        <w:jc w:val="both"/>
        <w:rPr>
          <w:rFonts w:ascii="Times New Roman" w:hAnsi="Times New Roman" w:cs="Times New Roman"/>
          <w:b/>
          <w:bCs/>
          <w:color w:val="000000"/>
          <w:kern w:val="0"/>
          <w:sz w:val="24"/>
          <w:szCs w:val="24"/>
        </w:rPr>
      </w:pPr>
    </w:p>
    <w:p w:rsidR="008A0913" w:rsidRDefault="008A0913" w:rsidP="00372B91">
      <w:pPr>
        <w:widowControl/>
        <w:numPr>
          <w:ilvl w:val="0"/>
          <w:numId w:val="1"/>
        </w:numPr>
        <w:tabs>
          <w:tab w:val="left" w:pos="360"/>
        </w:tabs>
        <w:overflowPunct/>
        <w:adjustRightInd/>
        <w:spacing w:after="0" w:line="240" w:lineRule="auto"/>
        <w:ind w:left="0" w:firstLine="0"/>
        <w:jc w:val="both"/>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lastRenderedPageBreak/>
        <w:t>Special Assistance</w:t>
      </w:r>
    </w:p>
    <w:p w:rsidR="00C253E7" w:rsidRDefault="00C253E7" w:rsidP="00C253E7">
      <w:pPr>
        <w:widowControl/>
        <w:tabs>
          <w:tab w:val="left" w:pos="360"/>
          <w:tab w:val="left" w:pos="450"/>
        </w:tabs>
        <w:overflowPunct/>
        <w:adjustRightInd/>
        <w:spacing w:after="0" w:line="240" w:lineRule="auto"/>
        <w:jc w:val="both"/>
        <w:rPr>
          <w:rFonts w:ascii="Times New Roman" w:hAnsi="Times New Roman" w:cs="Times New Roman"/>
          <w:b/>
          <w:bCs/>
          <w:color w:val="000000"/>
          <w:kern w:val="0"/>
          <w:sz w:val="24"/>
          <w:szCs w:val="24"/>
        </w:rPr>
      </w:pPr>
    </w:p>
    <w:p w:rsidR="00103FDE" w:rsidRPr="0094759A" w:rsidRDefault="00103FDE" w:rsidP="00103FDE">
      <w:pPr>
        <w:tabs>
          <w:tab w:val="left" w:pos="8910"/>
        </w:tabs>
        <w:ind w:right="119"/>
        <w:jc w:val="both"/>
        <w:rPr>
          <w:rFonts w:ascii="Times New Roman" w:hAnsi="Times New Roman" w:cs="Times New Roman"/>
          <w:sz w:val="24"/>
          <w:szCs w:val="24"/>
        </w:rPr>
      </w:pPr>
      <w:r w:rsidRPr="0094759A">
        <w:rPr>
          <w:rFonts w:ascii="Times New Roman" w:hAnsi="Times New Roman" w:cs="Times New Roman"/>
          <w:sz w:val="24"/>
          <w:szCs w:val="24"/>
        </w:rPr>
        <w:t>In 2015, non-fire incidents which was 3,704, made up of around 38% of all incidents attended by the fire and rescue service. There were 1,129 turn out</w:t>
      </w:r>
      <w:r w:rsidR="00B86734">
        <w:rPr>
          <w:rFonts w:ascii="Times New Roman" w:hAnsi="Times New Roman" w:cs="Times New Roman"/>
          <w:sz w:val="24"/>
          <w:szCs w:val="24"/>
        </w:rPr>
        <w:t xml:space="preserve">s </w:t>
      </w:r>
      <w:proofErr w:type="gramStart"/>
      <w:r w:rsidR="00B86734">
        <w:rPr>
          <w:rFonts w:ascii="Times New Roman" w:hAnsi="Times New Roman" w:cs="Times New Roman"/>
          <w:sz w:val="24"/>
          <w:szCs w:val="24"/>
        </w:rPr>
        <w:t>effected</w:t>
      </w:r>
      <w:proofErr w:type="gramEnd"/>
      <w:r w:rsidR="00B86734">
        <w:rPr>
          <w:rFonts w:ascii="Times New Roman" w:hAnsi="Times New Roman" w:cs="Times New Roman"/>
          <w:sz w:val="24"/>
          <w:szCs w:val="24"/>
        </w:rPr>
        <w:t xml:space="preserve"> </w:t>
      </w:r>
      <w:r w:rsidRPr="0094759A">
        <w:rPr>
          <w:rFonts w:ascii="Times New Roman" w:hAnsi="Times New Roman" w:cs="Times New Roman"/>
          <w:sz w:val="24"/>
          <w:szCs w:val="24"/>
        </w:rPr>
        <w:t xml:space="preserve">for pumping of accumulation of water, </w:t>
      </w:r>
      <w:r w:rsidR="00055F15" w:rsidRPr="0094759A">
        <w:rPr>
          <w:rFonts w:ascii="Times New Roman" w:hAnsi="Times New Roman" w:cs="Times New Roman"/>
          <w:sz w:val="24"/>
          <w:szCs w:val="24"/>
        </w:rPr>
        <w:t xml:space="preserve">1,050 </w:t>
      </w:r>
      <w:r w:rsidR="00B86734">
        <w:rPr>
          <w:rFonts w:ascii="Times New Roman" w:hAnsi="Times New Roman" w:cs="Times New Roman"/>
          <w:sz w:val="24"/>
          <w:szCs w:val="24"/>
        </w:rPr>
        <w:t xml:space="preserve">for </w:t>
      </w:r>
      <w:r w:rsidRPr="0094759A">
        <w:rPr>
          <w:rFonts w:ascii="Times New Roman" w:hAnsi="Times New Roman" w:cs="Times New Roman"/>
          <w:sz w:val="24"/>
          <w:szCs w:val="24"/>
        </w:rPr>
        <w:t>flushing of roads and other places</w:t>
      </w:r>
      <w:r w:rsidR="008A3542">
        <w:rPr>
          <w:rFonts w:ascii="Times New Roman" w:hAnsi="Times New Roman" w:cs="Times New Roman"/>
          <w:sz w:val="24"/>
          <w:szCs w:val="24"/>
        </w:rPr>
        <w:t>,</w:t>
      </w:r>
      <w:r w:rsidRPr="0094759A">
        <w:rPr>
          <w:rFonts w:ascii="Times New Roman" w:hAnsi="Times New Roman" w:cs="Times New Roman"/>
          <w:sz w:val="24"/>
          <w:szCs w:val="24"/>
        </w:rPr>
        <w:t xml:space="preserve"> </w:t>
      </w:r>
      <w:r w:rsidR="004F26E2">
        <w:rPr>
          <w:rFonts w:ascii="Times New Roman" w:hAnsi="Times New Roman" w:cs="Times New Roman"/>
          <w:sz w:val="24"/>
          <w:szCs w:val="24"/>
        </w:rPr>
        <w:t xml:space="preserve">and </w:t>
      </w:r>
      <w:r w:rsidRPr="0094759A">
        <w:rPr>
          <w:rFonts w:ascii="Times New Roman" w:hAnsi="Times New Roman" w:cs="Times New Roman"/>
          <w:sz w:val="24"/>
          <w:szCs w:val="24"/>
        </w:rPr>
        <w:t xml:space="preserve">582 </w:t>
      </w:r>
      <w:r w:rsidR="004F26E2">
        <w:rPr>
          <w:rFonts w:ascii="Times New Roman" w:hAnsi="Times New Roman" w:cs="Times New Roman"/>
          <w:sz w:val="24"/>
          <w:szCs w:val="24"/>
        </w:rPr>
        <w:t>for</w:t>
      </w:r>
      <w:r w:rsidRPr="0094759A">
        <w:rPr>
          <w:rFonts w:ascii="Times New Roman" w:hAnsi="Times New Roman" w:cs="Times New Roman"/>
          <w:sz w:val="24"/>
          <w:szCs w:val="24"/>
        </w:rPr>
        <w:t xml:space="preserve"> cutting of trees or branches among others.</w:t>
      </w:r>
    </w:p>
    <w:p w:rsidR="00103FDE" w:rsidRPr="0094759A" w:rsidRDefault="00103FDE" w:rsidP="00103FDE">
      <w:pPr>
        <w:tabs>
          <w:tab w:val="left" w:pos="8910"/>
        </w:tabs>
        <w:ind w:right="119"/>
        <w:jc w:val="both"/>
        <w:rPr>
          <w:rFonts w:ascii="Times New Roman" w:hAnsi="Times New Roman" w:cs="Times New Roman"/>
          <w:sz w:val="24"/>
          <w:szCs w:val="20"/>
        </w:rPr>
      </w:pPr>
      <w:r w:rsidRPr="0094759A">
        <w:rPr>
          <w:rFonts w:ascii="Times New Roman" w:hAnsi="Times New Roman" w:cs="Times New Roman"/>
          <w:sz w:val="24"/>
          <w:szCs w:val="20"/>
        </w:rPr>
        <w:t>From 2014 to 2015, the number of special assistance atte</w:t>
      </w:r>
      <w:r w:rsidR="0094759A">
        <w:rPr>
          <w:rFonts w:ascii="Times New Roman" w:hAnsi="Times New Roman" w:cs="Times New Roman"/>
          <w:sz w:val="24"/>
          <w:szCs w:val="20"/>
        </w:rPr>
        <w:t xml:space="preserve">nded went up by 34% from 2,759 </w:t>
      </w:r>
      <w:r w:rsidRPr="0094759A">
        <w:rPr>
          <w:rFonts w:ascii="Times New Roman" w:hAnsi="Times New Roman" w:cs="Times New Roman"/>
          <w:sz w:val="24"/>
          <w:szCs w:val="20"/>
        </w:rPr>
        <w:t xml:space="preserve">to 3,704. The number </w:t>
      </w:r>
      <w:r w:rsidRPr="0094759A">
        <w:rPr>
          <w:rFonts w:ascii="Times New Roman" w:hAnsi="Times New Roman" w:cs="Times New Roman"/>
          <w:bCs/>
          <w:sz w:val="24"/>
          <w:szCs w:val="24"/>
        </w:rPr>
        <w:t>of pumping due to accumulation of water</w:t>
      </w:r>
      <w:r w:rsidR="00401D93">
        <w:rPr>
          <w:rFonts w:ascii="Times New Roman" w:hAnsi="Times New Roman" w:cs="Times New Roman"/>
          <w:bCs/>
          <w:sz w:val="24"/>
          <w:szCs w:val="24"/>
        </w:rPr>
        <w:t xml:space="preserve"> </w:t>
      </w:r>
      <w:r w:rsidRPr="0094759A">
        <w:rPr>
          <w:rFonts w:ascii="Times New Roman" w:hAnsi="Times New Roman" w:cs="Times New Roman"/>
          <w:bCs/>
          <w:sz w:val="24"/>
          <w:szCs w:val="24"/>
        </w:rPr>
        <w:t xml:space="preserve">during torrential rains dealt with almost doubled from 534 in 2014 to 1,129 in 2015, representing an increase of around 111%.  Flushing of roads after accidents also went up by 56% from </w:t>
      </w:r>
      <w:r w:rsidR="0094759A" w:rsidRPr="0094759A">
        <w:rPr>
          <w:rFonts w:ascii="Times New Roman" w:hAnsi="Times New Roman" w:cs="Times New Roman"/>
          <w:bCs/>
          <w:sz w:val="24"/>
          <w:szCs w:val="24"/>
        </w:rPr>
        <w:t>163</w:t>
      </w:r>
      <w:r w:rsidRPr="0094759A">
        <w:rPr>
          <w:rFonts w:ascii="Times New Roman" w:hAnsi="Times New Roman" w:cs="Times New Roman"/>
          <w:bCs/>
          <w:sz w:val="24"/>
          <w:szCs w:val="24"/>
        </w:rPr>
        <w:t xml:space="preserve"> to </w:t>
      </w:r>
      <w:r w:rsidR="0094759A" w:rsidRPr="0094759A">
        <w:rPr>
          <w:rFonts w:ascii="Times New Roman" w:hAnsi="Times New Roman" w:cs="Times New Roman"/>
          <w:bCs/>
          <w:sz w:val="24"/>
          <w:szCs w:val="24"/>
        </w:rPr>
        <w:t>254</w:t>
      </w:r>
      <w:r w:rsidRPr="0094759A">
        <w:rPr>
          <w:rFonts w:ascii="Times New Roman" w:hAnsi="Times New Roman" w:cs="Times New Roman"/>
          <w:bCs/>
          <w:sz w:val="24"/>
          <w:szCs w:val="24"/>
        </w:rPr>
        <w:t>.</w:t>
      </w:r>
    </w:p>
    <w:p w:rsidR="00103FDE" w:rsidRDefault="00103FDE" w:rsidP="008A0913">
      <w:pPr>
        <w:widowControl/>
        <w:overflowPunct/>
        <w:adjustRightInd/>
        <w:spacing w:after="0" w:line="240" w:lineRule="auto"/>
        <w:jc w:val="both"/>
        <w:rPr>
          <w:rFonts w:ascii="Times New Roman" w:hAnsi="Times New Roman" w:cs="Times New Roman"/>
          <w:bCs/>
          <w:color w:val="000000"/>
          <w:kern w:val="0"/>
          <w:sz w:val="24"/>
          <w:szCs w:val="24"/>
        </w:rPr>
      </w:pPr>
    </w:p>
    <w:p w:rsidR="002856BA" w:rsidRDefault="00750FFA" w:rsidP="008A0913">
      <w:pPr>
        <w:widowControl/>
        <w:overflowPunct/>
        <w:adjustRightInd/>
        <w:spacing w:after="0" w:line="240" w:lineRule="auto"/>
        <w:jc w:val="both"/>
        <w:rPr>
          <w:rFonts w:ascii="Times New Roman" w:hAnsi="Times New Roman" w:cs="Times New Roman"/>
          <w:bCs/>
          <w:color w:val="000000"/>
          <w:kern w:val="0"/>
          <w:sz w:val="24"/>
          <w:szCs w:val="24"/>
        </w:rPr>
      </w:pPr>
      <w:r w:rsidRPr="002856BA">
        <w:rPr>
          <w:rFonts w:ascii="Times New Roman" w:hAnsi="Times New Roman" w:cs="Times New Roman"/>
          <w:bCs/>
          <w:noProof/>
          <w:color w:val="000000"/>
          <w:kern w:val="0"/>
          <w:sz w:val="24"/>
          <w:szCs w:val="24"/>
        </w:rPr>
        <w:drawing>
          <wp:inline distT="0" distB="0" distL="0" distR="0">
            <wp:extent cx="5810250" cy="5734050"/>
            <wp:effectExtent l="0" t="0" r="0" b="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50FFA" w:rsidRDefault="00750FFA" w:rsidP="008A0913">
      <w:pPr>
        <w:widowControl/>
        <w:overflowPunct/>
        <w:adjustRightInd/>
        <w:spacing w:after="0" w:line="240" w:lineRule="auto"/>
        <w:jc w:val="both"/>
        <w:rPr>
          <w:rFonts w:ascii="Times New Roman" w:hAnsi="Times New Roman" w:cs="Times New Roman"/>
          <w:bCs/>
          <w:color w:val="000000"/>
          <w:kern w:val="0"/>
          <w:sz w:val="24"/>
          <w:szCs w:val="24"/>
        </w:rPr>
      </w:pPr>
    </w:p>
    <w:p w:rsidR="00750FFA" w:rsidRDefault="00750FFA" w:rsidP="008A0913">
      <w:pPr>
        <w:widowControl/>
        <w:overflowPunct/>
        <w:adjustRightInd/>
        <w:spacing w:after="0" w:line="240" w:lineRule="auto"/>
        <w:jc w:val="both"/>
        <w:rPr>
          <w:rFonts w:ascii="Times New Roman" w:hAnsi="Times New Roman" w:cs="Times New Roman"/>
          <w:bCs/>
          <w:color w:val="000000"/>
          <w:kern w:val="0"/>
          <w:sz w:val="24"/>
          <w:szCs w:val="24"/>
        </w:rPr>
      </w:pPr>
    </w:p>
    <w:p w:rsidR="008A0913" w:rsidRPr="008A4ED9" w:rsidRDefault="008124CE" w:rsidP="007C5CB0">
      <w:pPr>
        <w:widowControl/>
        <w:tabs>
          <w:tab w:val="left" w:pos="360"/>
        </w:tabs>
        <w:overflowPunct/>
        <w:adjustRightInd/>
        <w:spacing w:after="0" w:line="240" w:lineRule="auto"/>
        <w:jc w:val="both"/>
        <w:rPr>
          <w:rFonts w:ascii="Times New Roman" w:hAnsi="Times New Roman" w:cs="Times New Roman"/>
          <w:b/>
          <w:bCs/>
          <w:color w:val="000000" w:themeColor="text1"/>
          <w:kern w:val="0"/>
          <w:sz w:val="24"/>
          <w:szCs w:val="24"/>
        </w:rPr>
      </w:pPr>
      <w:r>
        <w:rPr>
          <w:rFonts w:ascii="Times New Roman" w:hAnsi="Times New Roman" w:cs="Times New Roman"/>
          <w:b/>
          <w:bCs/>
          <w:color w:val="000000"/>
          <w:kern w:val="0"/>
          <w:sz w:val="24"/>
          <w:szCs w:val="24"/>
        </w:rPr>
        <w:lastRenderedPageBreak/>
        <w:t xml:space="preserve">7.   </w:t>
      </w:r>
      <w:r w:rsidR="00F23543" w:rsidRPr="008A4ED9">
        <w:rPr>
          <w:rFonts w:ascii="Times New Roman" w:hAnsi="Times New Roman" w:cs="Times New Roman"/>
          <w:b/>
          <w:bCs/>
          <w:color w:val="000000" w:themeColor="text1"/>
          <w:kern w:val="0"/>
          <w:sz w:val="24"/>
          <w:szCs w:val="24"/>
        </w:rPr>
        <w:t>Application of fire c</w:t>
      </w:r>
      <w:r w:rsidR="00372B91" w:rsidRPr="008A4ED9">
        <w:rPr>
          <w:rFonts w:ascii="Times New Roman" w:hAnsi="Times New Roman" w:cs="Times New Roman"/>
          <w:b/>
          <w:bCs/>
          <w:color w:val="000000" w:themeColor="text1"/>
          <w:kern w:val="0"/>
          <w:sz w:val="24"/>
          <w:szCs w:val="24"/>
        </w:rPr>
        <w:t xml:space="preserve">ertificate and </w:t>
      </w:r>
      <w:r w:rsidR="00FE27AF" w:rsidRPr="008A4ED9">
        <w:rPr>
          <w:rFonts w:ascii="Times New Roman" w:hAnsi="Times New Roman" w:cs="Times New Roman"/>
          <w:b/>
          <w:bCs/>
          <w:color w:val="000000" w:themeColor="text1"/>
          <w:kern w:val="0"/>
          <w:sz w:val="24"/>
          <w:szCs w:val="24"/>
        </w:rPr>
        <w:t xml:space="preserve">fire </w:t>
      </w:r>
      <w:r w:rsidR="00372B91" w:rsidRPr="008A4ED9">
        <w:rPr>
          <w:rFonts w:ascii="Times New Roman" w:hAnsi="Times New Roman" w:cs="Times New Roman"/>
          <w:b/>
          <w:bCs/>
          <w:color w:val="000000" w:themeColor="text1"/>
          <w:kern w:val="0"/>
          <w:sz w:val="24"/>
          <w:szCs w:val="24"/>
        </w:rPr>
        <w:t>clearance received and issued</w:t>
      </w:r>
    </w:p>
    <w:p w:rsidR="008A0913" w:rsidRDefault="008A0913" w:rsidP="008A0913">
      <w:pPr>
        <w:widowControl/>
        <w:overflowPunct/>
        <w:adjustRightInd/>
        <w:spacing w:after="0" w:line="240" w:lineRule="auto"/>
        <w:jc w:val="both"/>
        <w:rPr>
          <w:rFonts w:ascii="Times New Roman" w:hAnsi="Times New Roman" w:cs="Times New Roman"/>
          <w:b/>
          <w:bCs/>
          <w:color w:val="000000"/>
          <w:kern w:val="0"/>
          <w:sz w:val="24"/>
          <w:szCs w:val="24"/>
        </w:rPr>
      </w:pPr>
    </w:p>
    <w:p w:rsidR="00C2765F" w:rsidRDefault="008F66BA" w:rsidP="00C2765F">
      <w:pPr>
        <w:tabs>
          <w:tab w:val="left" w:pos="540"/>
        </w:tabs>
        <w:jc w:val="both"/>
        <w:rPr>
          <w:rFonts w:ascii="Times New Roman" w:hAnsi="Times New Roman" w:cs="Times New Roman"/>
          <w:bCs/>
          <w:color w:val="000000" w:themeColor="text1"/>
          <w:sz w:val="24"/>
          <w:szCs w:val="24"/>
        </w:rPr>
      </w:pPr>
      <w:r w:rsidRPr="008F66BA">
        <w:rPr>
          <w:rFonts w:ascii="Times New Roman" w:hAnsi="Times New Roman" w:cs="Times New Roman"/>
          <w:bCs/>
          <w:color w:val="000000" w:themeColor="text1"/>
          <w:sz w:val="24"/>
          <w:szCs w:val="24"/>
        </w:rPr>
        <w:t xml:space="preserve">Fire certificate and fire clearance are issued only upon receipt of applications.  Inspections are carried out to see whether the premises satisfy the fire safety norms.  If those premises satisfy the fire safety norms, then fire certificate or fire clearance are issued upon receipt of an appropriate fee. </w:t>
      </w:r>
    </w:p>
    <w:p w:rsidR="00372B91" w:rsidRPr="00372B91" w:rsidRDefault="008F66BA" w:rsidP="00C2765F">
      <w:pPr>
        <w:tabs>
          <w:tab w:val="left" w:pos="540"/>
        </w:tabs>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I</w:t>
      </w:r>
      <w:r w:rsidR="00372B91" w:rsidRPr="00372B91">
        <w:rPr>
          <w:rFonts w:ascii="Times New Roman" w:hAnsi="Times New Roman" w:cs="Times New Roman"/>
          <w:bCs/>
          <w:color w:val="000000"/>
          <w:kern w:val="0"/>
          <w:sz w:val="24"/>
          <w:szCs w:val="24"/>
        </w:rPr>
        <w:t xml:space="preserve">n 2015, </w:t>
      </w:r>
      <w:r w:rsidR="008A4ED9">
        <w:rPr>
          <w:rFonts w:ascii="Times New Roman" w:hAnsi="Times New Roman" w:cs="Times New Roman"/>
          <w:bCs/>
          <w:color w:val="000000"/>
          <w:kern w:val="0"/>
          <w:sz w:val="24"/>
          <w:szCs w:val="24"/>
        </w:rPr>
        <w:t xml:space="preserve">some </w:t>
      </w:r>
      <w:r w:rsidR="00372B91" w:rsidRPr="00372B91">
        <w:rPr>
          <w:rFonts w:ascii="Times New Roman" w:hAnsi="Times New Roman" w:cs="Times New Roman"/>
          <w:bCs/>
          <w:color w:val="000000"/>
          <w:kern w:val="0"/>
          <w:sz w:val="24"/>
          <w:szCs w:val="24"/>
        </w:rPr>
        <w:t xml:space="preserve">760 applications were received in respect of buildings, filling stations, fuel depots, and other fire hazardous premises throughout the island for the purpose of fire certification. There were 840 fire certificates issued out of those </w:t>
      </w:r>
      <w:r w:rsidR="008A4ED9">
        <w:rPr>
          <w:rFonts w:ascii="Times New Roman" w:hAnsi="Times New Roman" w:cs="Times New Roman"/>
          <w:bCs/>
          <w:color w:val="000000"/>
          <w:kern w:val="0"/>
          <w:sz w:val="24"/>
          <w:szCs w:val="24"/>
        </w:rPr>
        <w:t>applications received</w:t>
      </w:r>
      <w:r>
        <w:rPr>
          <w:rFonts w:ascii="Times New Roman" w:hAnsi="Times New Roman" w:cs="Times New Roman"/>
          <w:bCs/>
          <w:color w:val="000000"/>
          <w:kern w:val="0"/>
          <w:sz w:val="24"/>
          <w:szCs w:val="24"/>
        </w:rPr>
        <w:t>.</w:t>
      </w:r>
      <w:r w:rsidR="00372B91" w:rsidRPr="00372B91">
        <w:rPr>
          <w:rFonts w:ascii="Times New Roman" w:hAnsi="Times New Roman" w:cs="Times New Roman"/>
          <w:bCs/>
          <w:color w:val="000000"/>
          <w:kern w:val="0"/>
          <w:sz w:val="24"/>
          <w:szCs w:val="24"/>
        </w:rPr>
        <w:t xml:space="preserve">  An increase of 22% in the number of certificates issued was registered in 2015, up from 687 in 2014.</w:t>
      </w:r>
    </w:p>
    <w:p w:rsidR="00FB7413" w:rsidRDefault="00C2765F" w:rsidP="008A0913">
      <w:pPr>
        <w:widowControl/>
        <w:overflowPunct/>
        <w:adjustRightInd/>
        <w:spacing w:after="0" w:line="240" w:lineRule="auto"/>
        <w:jc w:val="both"/>
        <w:rPr>
          <w:rFonts w:ascii="Times New Roman" w:hAnsi="Times New Roman" w:cs="Times New Roman"/>
          <w:bCs/>
          <w:color w:val="000000"/>
          <w:kern w:val="0"/>
          <w:sz w:val="24"/>
          <w:szCs w:val="24"/>
        </w:rPr>
      </w:pPr>
      <w:r w:rsidRPr="009C3D4C">
        <w:rPr>
          <w:rFonts w:ascii="Times New Roman" w:hAnsi="Times New Roman" w:cs="Times New Roman"/>
          <w:noProof/>
        </w:rPr>
        <w:drawing>
          <wp:inline distT="0" distB="0" distL="0" distR="0">
            <wp:extent cx="5669280" cy="265176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2765F" w:rsidRDefault="00EB1EE7" w:rsidP="008A0913">
      <w:pPr>
        <w:widowControl/>
        <w:overflowPunct/>
        <w:adjustRightInd/>
        <w:spacing w:after="0" w:line="24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w:t>
      </w:r>
      <w:r w:rsidR="008A4ED9">
        <w:rPr>
          <w:rFonts w:ascii="Times New Roman" w:hAnsi="Times New Roman" w:cs="Times New Roman"/>
          <w:bCs/>
          <w:color w:val="000000"/>
          <w:kern w:val="0"/>
          <w:sz w:val="24"/>
          <w:szCs w:val="24"/>
        </w:rPr>
        <w:t xml:space="preserve">pplications </w:t>
      </w:r>
      <w:r w:rsidR="00372B91" w:rsidRPr="00372B91">
        <w:rPr>
          <w:rFonts w:ascii="Times New Roman" w:hAnsi="Times New Roman" w:cs="Times New Roman"/>
          <w:bCs/>
          <w:color w:val="000000"/>
          <w:kern w:val="0"/>
          <w:sz w:val="24"/>
          <w:szCs w:val="24"/>
        </w:rPr>
        <w:t xml:space="preserve">received for fire clearance as regards tourist residence, guest house, stores where </w:t>
      </w:r>
      <w:r w:rsidR="00372B91" w:rsidRPr="00372B91">
        <w:rPr>
          <w:rFonts w:ascii="Times New Roman" w:hAnsi="Times New Roman" w:cs="Times New Roman"/>
          <w:bCs/>
          <w:sz w:val="24"/>
          <w:szCs w:val="24"/>
        </w:rPr>
        <w:t>in</w:t>
      </w:r>
      <w:r>
        <w:rPr>
          <w:rFonts w:ascii="Times New Roman" w:hAnsi="Times New Roman" w:cs="Times New Roman"/>
          <w:bCs/>
          <w:sz w:val="24"/>
          <w:szCs w:val="24"/>
        </w:rPr>
        <w:t>secticide, pesticide, herbicide and LPG</w:t>
      </w:r>
      <w:r w:rsidR="00372B91" w:rsidRPr="00372B91">
        <w:rPr>
          <w:rFonts w:ascii="Times New Roman" w:hAnsi="Times New Roman" w:cs="Times New Roman"/>
          <w:bCs/>
          <w:sz w:val="24"/>
          <w:szCs w:val="24"/>
        </w:rPr>
        <w:t xml:space="preserve"> are kept </w:t>
      </w:r>
      <w:r>
        <w:rPr>
          <w:rFonts w:ascii="Times New Roman" w:hAnsi="Times New Roman" w:cs="Times New Roman"/>
          <w:bCs/>
          <w:sz w:val="24"/>
          <w:szCs w:val="24"/>
        </w:rPr>
        <w:t>were 1,481 in 2015 whil</w:t>
      </w:r>
      <w:r w:rsidR="00E95C67">
        <w:rPr>
          <w:rFonts w:ascii="Times New Roman" w:hAnsi="Times New Roman" w:cs="Times New Roman"/>
          <w:bCs/>
          <w:sz w:val="24"/>
          <w:szCs w:val="24"/>
        </w:rPr>
        <w:t xml:space="preserve">e </w:t>
      </w:r>
      <w:r w:rsidR="00372B91" w:rsidRPr="00372B91">
        <w:rPr>
          <w:rFonts w:ascii="Times New Roman" w:hAnsi="Times New Roman" w:cs="Times New Roman"/>
          <w:bCs/>
          <w:sz w:val="24"/>
          <w:szCs w:val="24"/>
        </w:rPr>
        <w:t>fire clearance issued</w:t>
      </w:r>
      <w:r>
        <w:rPr>
          <w:rFonts w:ascii="Times New Roman" w:hAnsi="Times New Roman" w:cs="Times New Roman"/>
          <w:bCs/>
          <w:sz w:val="24"/>
          <w:szCs w:val="24"/>
        </w:rPr>
        <w:t xml:space="preserve"> were 1,373</w:t>
      </w:r>
      <w:r w:rsidR="00372B91" w:rsidRPr="00372B91">
        <w:rPr>
          <w:rFonts w:ascii="Times New Roman" w:hAnsi="Times New Roman" w:cs="Times New Roman"/>
          <w:bCs/>
          <w:sz w:val="24"/>
          <w:szCs w:val="24"/>
        </w:rPr>
        <w:t xml:space="preserve">. </w:t>
      </w:r>
      <w:r w:rsidR="00372B91" w:rsidRPr="00372B91">
        <w:rPr>
          <w:rFonts w:ascii="Times New Roman" w:hAnsi="Times New Roman" w:cs="Times New Roman"/>
          <w:bCs/>
          <w:color w:val="000000"/>
          <w:kern w:val="0"/>
          <w:sz w:val="24"/>
          <w:szCs w:val="24"/>
        </w:rPr>
        <w:t xml:space="preserve">Compared to 2014, </w:t>
      </w:r>
      <w:r w:rsidR="00E81152">
        <w:rPr>
          <w:rFonts w:ascii="Times New Roman" w:hAnsi="Times New Roman" w:cs="Times New Roman"/>
          <w:bCs/>
          <w:color w:val="000000"/>
          <w:kern w:val="0"/>
          <w:sz w:val="24"/>
          <w:szCs w:val="24"/>
        </w:rPr>
        <w:t>the number of clearance issued rose by 32% from 1,044 to 1,373.</w:t>
      </w:r>
    </w:p>
    <w:p w:rsidR="00EE2C8F" w:rsidRDefault="00EE2C8F" w:rsidP="008A0913">
      <w:pPr>
        <w:widowControl/>
        <w:overflowPunct/>
        <w:adjustRightInd/>
        <w:spacing w:after="0" w:line="240" w:lineRule="auto"/>
        <w:jc w:val="both"/>
        <w:rPr>
          <w:rFonts w:ascii="Times New Roman" w:hAnsi="Times New Roman" w:cs="Times New Roman"/>
          <w:bCs/>
          <w:color w:val="000000"/>
          <w:kern w:val="0"/>
          <w:sz w:val="24"/>
          <w:szCs w:val="24"/>
        </w:rPr>
      </w:pPr>
    </w:p>
    <w:p w:rsidR="009C3D4C" w:rsidRDefault="009C3D4C" w:rsidP="009C3D4C">
      <w:pPr>
        <w:pStyle w:val="ListParagraph"/>
        <w:widowControl/>
        <w:tabs>
          <w:tab w:val="left" w:pos="0"/>
          <w:tab w:val="left" w:pos="360"/>
        </w:tabs>
        <w:overflowPunct/>
        <w:adjustRightInd/>
        <w:spacing w:after="0" w:line="240" w:lineRule="auto"/>
        <w:ind w:left="0"/>
        <w:jc w:val="both"/>
        <w:rPr>
          <w:rFonts w:ascii="Times New Roman" w:hAnsi="Times New Roman" w:cs="Times New Roman"/>
          <w:b/>
          <w:color w:val="000000"/>
          <w:sz w:val="24"/>
        </w:rPr>
      </w:pPr>
      <w:r>
        <w:rPr>
          <w:noProof/>
        </w:rPr>
        <w:drawing>
          <wp:inline distT="0" distB="0" distL="0" distR="0">
            <wp:extent cx="5562600" cy="236982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73C47" w:rsidRDefault="00973C47" w:rsidP="00973C47">
      <w:pPr>
        <w:pStyle w:val="ListParagraph"/>
        <w:widowControl/>
        <w:tabs>
          <w:tab w:val="left" w:pos="0"/>
          <w:tab w:val="left" w:pos="360"/>
        </w:tabs>
        <w:overflowPunct/>
        <w:adjustRightInd/>
        <w:spacing w:after="0" w:line="240" w:lineRule="auto"/>
        <w:ind w:left="0"/>
        <w:jc w:val="both"/>
        <w:rPr>
          <w:rFonts w:ascii="Times New Roman" w:hAnsi="Times New Roman" w:cs="Times New Roman"/>
          <w:b/>
          <w:color w:val="000000"/>
          <w:sz w:val="24"/>
        </w:rPr>
      </w:pPr>
    </w:p>
    <w:p w:rsidR="008A0913" w:rsidRPr="00FB7413" w:rsidRDefault="008A0913" w:rsidP="00CE4F83">
      <w:pPr>
        <w:pStyle w:val="ListParagraph"/>
        <w:widowControl/>
        <w:numPr>
          <w:ilvl w:val="0"/>
          <w:numId w:val="11"/>
        </w:numPr>
        <w:tabs>
          <w:tab w:val="left" w:pos="0"/>
          <w:tab w:val="left" w:pos="360"/>
        </w:tabs>
        <w:overflowPunct/>
        <w:adjustRightInd/>
        <w:spacing w:after="0" w:line="240" w:lineRule="auto"/>
        <w:ind w:left="0" w:firstLine="0"/>
        <w:jc w:val="both"/>
        <w:rPr>
          <w:rFonts w:ascii="Times New Roman" w:hAnsi="Times New Roman" w:cs="Times New Roman"/>
          <w:b/>
          <w:color w:val="000000"/>
          <w:sz w:val="24"/>
        </w:rPr>
      </w:pPr>
      <w:r w:rsidRPr="00FB7413">
        <w:rPr>
          <w:rFonts w:ascii="Times New Roman" w:hAnsi="Times New Roman" w:cs="Times New Roman"/>
          <w:b/>
          <w:color w:val="000000"/>
          <w:sz w:val="24"/>
        </w:rPr>
        <w:lastRenderedPageBreak/>
        <w:t xml:space="preserve">Public education activities </w:t>
      </w:r>
    </w:p>
    <w:p w:rsidR="00FB7413" w:rsidRPr="00FB7413" w:rsidRDefault="00FB7413" w:rsidP="00FB7413">
      <w:pPr>
        <w:pStyle w:val="ListParagraph"/>
        <w:widowControl/>
        <w:tabs>
          <w:tab w:val="left" w:pos="0"/>
          <w:tab w:val="left" w:pos="360"/>
        </w:tabs>
        <w:overflowPunct/>
        <w:adjustRightInd/>
        <w:spacing w:after="0" w:line="240" w:lineRule="auto"/>
        <w:ind w:left="450"/>
        <w:jc w:val="both"/>
        <w:rPr>
          <w:rFonts w:ascii="Times New Roman" w:hAnsi="Times New Roman" w:cs="Times New Roman"/>
          <w:b/>
          <w:bCs/>
          <w:color w:val="000000"/>
          <w:kern w:val="0"/>
          <w:sz w:val="24"/>
          <w:szCs w:val="24"/>
        </w:rPr>
      </w:pPr>
    </w:p>
    <w:p w:rsidR="00FA1E25" w:rsidRPr="00FA1E25" w:rsidRDefault="00FA1E25" w:rsidP="00FA1E25">
      <w:pPr>
        <w:widowControl/>
        <w:overflowPunct/>
        <w:adjustRightInd/>
        <w:spacing w:after="0" w:line="240" w:lineRule="auto"/>
        <w:jc w:val="both"/>
        <w:rPr>
          <w:rFonts w:ascii="Times New Roman" w:hAnsi="Times New Roman" w:cs="Times New Roman"/>
          <w:b/>
          <w:bCs/>
          <w:color w:val="000000"/>
          <w:kern w:val="0"/>
          <w:sz w:val="32"/>
          <w:szCs w:val="24"/>
        </w:rPr>
      </w:pPr>
      <w:r w:rsidRPr="00FA1E25">
        <w:rPr>
          <w:rFonts w:ascii="Times New Roman" w:hAnsi="Times New Roman" w:cs="Times New Roman"/>
          <w:sz w:val="24"/>
          <w:szCs w:val="20"/>
        </w:rPr>
        <w:t xml:space="preserve">In 2015, the Mauritius Fire and Rescue Service undertook 528 awareness campaigns. These campaigns were conducted with respect to fire and other emergency safety measures through talks, lectures, demonstrations and broadcast to the population. </w:t>
      </w:r>
      <w:r w:rsidR="00E24B91">
        <w:rPr>
          <w:rFonts w:ascii="Times New Roman" w:hAnsi="Times New Roman" w:cs="Times New Roman"/>
          <w:sz w:val="24"/>
          <w:szCs w:val="20"/>
        </w:rPr>
        <w:t xml:space="preserve">From 2014 to 2015, </w:t>
      </w:r>
      <w:r w:rsidRPr="00FA1E25">
        <w:rPr>
          <w:rFonts w:ascii="Times New Roman" w:hAnsi="Times New Roman" w:cs="Times New Roman"/>
          <w:sz w:val="24"/>
          <w:szCs w:val="20"/>
        </w:rPr>
        <w:t xml:space="preserve">an increase of nearly </w:t>
      </w:r>
      <w:r w:rsidR="00E95C67">
        <w:rPr>
          <w:rFonts w:ascii="Times New Roman" w:hAnsi="Times New Roman" w:cs="Times New Roman"/>
          <w:sz w:val="24"/>
          <w:szCs w:val="20"/>
        </w:rPr>
        <w:t>47 (</w:t>
      </w:r>
      <w:r w:rsidRPr="00FA1E25">
        <w:rPr>
          <w:rFonts w:ascii="Times New Roman" w:hAnsi="Times New Roman" w:cs="Times New Roman"/>
          <w:sz w:val="24"/>
          <w:szCs w:val="20"/>
        </w:rPr>
        <w:t>10%</w:t>
      </w:r>
      <w:r w:rsidR="00E95C67">
        <w:rPr>
          <w:rFonts w:ascii="Times New Roman" w:hAnsi="Times New Roman" w:cs="Times New Roman"/>
          <w:sz w:val="24"/>
          <w:szCs w:val="20"/>
        </w:rPr>
        <w:t>)</w:t>
      </w:r>
      <w:r w:rsidRPr="00FA1E25">
        <w:rPr>
          <w:rFonts w:ascii="Times New Roman" w:hAnsi="Times New Roman" w:cs="Times New Roman"/>
          <w:sz w:val="24"/>
          <w:szCs w:val="20"/>
        </w:rPr>
        <w:t xml:space="preserve"> of such activities was registered.  </w:t>
      </w:r>
    </w:p>
    <w:p w:rsidR="008A0913" w:rsidRDefault="008A0913" w:rsidP="008A0913">
      <w:pPr>
        <w:widowControl/>
        <w:overflowPunct/>
        <w:adjustRightInd/>
        <w:spacing w:after="0" w:line="240" w:lineRule="auto"/>
        <w:jc w:val="both"/>
        <w:rPr>
          <w:rFonts w:ascii="Times New Roman" w:hAnsi="Times New Roman" w:cs="Times New Roman"/>
          <w:sz w:val="24"/>
          <w:szCs w:val="20"/>
        </w:rPr>
      </w:pPr>
    </w:p>
    <w:p w:rsidR="008A0913" w:rsidRDefault="008A0913" w:rsidP="008A0913">
      <w:pPr>
        <w:widowControl/>
        <w:overflowPunct/>
        <w:adjustRightInd/>
        <w:spacing w:after="0" w:line="240" w:lineRule="auto"/>
        <w:jc w:val="both"/>
        <w:rPr>
          <w:rFonts w:ascii="Times New Roman" w:hAnsi="Times New Roman" w:cs="Times New Roman"/>
          <w:b/>
          <w:bCs/>
          <w:color w:val="000000"/>
          <w:kern w:val="0"/>
          <w:sz w:val="32"/>
          <w:szCs w:val="24"/>
        </w:rPr>
      </w:pPr>
    </w:p>
    <w:p w:rsidR="00374BB5" w:rsidRDefault="00374BB5" w:rsidP="008A0913">
      <w:pPr>
        <w:widowControl/>
        <w:overflowPunct/>
        <w:adjustRightInd/>
        <w:spacing w:after="0" w:line="240" w:lineRule="auto"/>
        <w:jc w:val="both"/>
        <w:rPr>
          <w:rFonts w:ascii="Times New Roman" w:hAnsi="Times New Roman" w:cs="Times New Roman"/>
          <w:b/>
          <w:bCs/>
          <w:color w:val="000000"/>
          <w:kern w:val="0"/>
          <w:sz w:val="32"/>
          <w:szCs w:val="24"/>
        </w:rPr>
      </w:pPr>
    </w:p>
    <w:p w:rsidR="00374BB5" w:rsidRDefault="00374BB5" w:rsidP="008A0913">
      <w:pPr>
        <w:widowControl/>
        <w:overflowPunct/>
        <w:adjustRightInd/>
        <w:spacing w:after="0" w:line="240" w:lineRule="auto"/>
        <w:jc w:val="both"/>
        <w:rPr>
          <w:rFonts w:ascii="Times New Roman" w:hAnsi="Times New Roman" w:cs="Times New Roman"/>
          <w:b/>
          <w:bCs/>
          <w:color w:val="000000"/>
          <w:kern w:val="0"/>
          <w:sz w:val="32"/>
          <w:szCs w:val="24"/>
        </w:rPr>
      </w:pPr>
    </w:p>
    <w:p w:rsidR="00374BB5" w:rsidRDefault="00374BB5" w:rsidP="008A0913">
      <w:pPr>
        <w:widowControl/>
        <w:overflowPunct/>
        <w:adjustRightInd/>
        <w:spacing w:after="0" w:line="240" w:lineRule="auto"/>
        <w:jc w:val="both"/>
        <w:rPr>
          <w:rFonts w:ascii="Times New Roman" w:hAnsi="Times New Roman" w:cs="Times New Roman"/>
          <w:b/>
          <w:bCs/>
          <w:color w:val="000000"/>
          <w:kern w:val="0"/>
          <w:sz w:val="32"/>
          <w:szCs w:val="24"/>
        </w:rPr>
      </w:pPr>
    </w:p>
    <w:p w:rsidR="000D382A" w:rsidRDefault="000D382A" w:rsidP="008A0913">
      <w:pPr>
        <w:widowControl/>
        <w:overflowPunct/>
        <w:adjustRightInd/>
        <w:spacing w:after="0" w:line="240" w:lineRule="auto"/>
        <w:jc w:val="both"/>
        <w:rPr>
          <w:rFonts w:ascii="Times New Roman" w:hAnsi="Times New Roman" w:cs="Times New Roman"/>
          <w:b/>
          <w:bCs/>
          <w:color w:val="000000"/>
          <w:kern w:val="0"/>
          <w:sz w:val="32"/>
          <w:szCs w:val="24"/>
        </w:rPr>
      </w:pPr>
    </w:p>
    <w:p w:rsidR="008A0913" w:rsidRPr="00DB01AB" w:rsidRDefault="0030742B" w:rsidP="00DD2867">
      <w:pPr>
        <w:tabs>
          <w:tab w:val="left" w:pos="1080"/>
        </w:tabs>
        <w:spacing w:after="0" w:line="240" w:lineRule="auto"/>
        <w:ind w:right="302"/>
        <w:jc w:val="both"/>
        <w:rPr>
          <w:rFonts w:ascii="Times New Roman" w:hAnsi="Times New Roman" w:cs="Times New Roman"/>
          <w:sz w:val="24"/>
          <w:szCs w:val="24"/>
        </w:rPr>
      </w:pPr>
      <w:r>
        <w:rPr>
          <w:rFonts w:ascii="Times New Roman" w:hAnsi="Times New Roman" w:cs="Times New Roman"/>
          <w:sz w:val="24"/>
          <w:szCs w:val="24"/>
        </w:rPr>
        <w:t>Contact person</w:t>
      </w:r>
      <w:r w:rsidR="008A0913" w:rsidRPr="00DB01AB">
        <w:rPr>
          <w:rFonts w:ascii="Times New Roman" w:hAnsi="Times New Roman" w:cs="Times New Roman"/>
          <w:sz w:val="24"/>
          <w:szCs w:val="24"/>
        </w:rPr>
        <w:t>:</w:t>
      </w:r>
    </w:p>
    <w:p w:rsidR="008A0913" w:rsidRPr="00DB01AB" w:rsidRDefault="008A0913" w:rsidP="00DD2867">
      <w:pPr>
        <w:keepNext/>
        <w:spacing w:after="0" w:line="240" w:lineRule="auto"/>
        <w:ind w:right="302"/>
        <w:jc w:val="both"/>
        <w:outlineLvl w:val="1"/>
        <w:rPr>
          <w:rFonts w:ascii="Times New Roman" w:hAnsi="Times New Roman" w:cs="Times New Roman"/>
          <w:sz w:val="24"/>
          <w:szCs w:val="24"/>
        </w:rPr>
      </w:pPr>
      <w:proofErr w:type="spellStart"/>
      <w:r w:rsidRPr="00DB01AB">
        <w:rPr>
          <w:rFonts w:ascii="Times New Roman" w:hAnsi="Times New Roman" w:cs="Times New Roman"/>
          <w:sz w:val="24"/>
          <w:szCs w:val="24"/>
        </w:rPr>
        <w:t>Mrs</w:t>
      </w:r>
      <w:proofErr w:type="spellEnd"/>
      <w:r w:rsidRPr="00DB01AB">
        <w:rPr>
          <w:rFonts w:ascii="Times New Roman" w:hAnsi="Times New Roman" w:cs="Times New Roman"/>
          <w:sz w:val="24"/>
          <w:szCs w:val="24"/>
        </w:rPr>
        <w:t xml:space="preserve"> F. </w:t>
      </w:r>
      <w:proofErr w:type="spellStart"/>
      <w:r w:rsidRPr="00DB01AB">
        <w:rPr>
          <w:rFonts w:ascii="Times New Roman" w:hAnsi="Times New Roman" w:cs="Times New Roman"/>
          <w:sz w:val="24"/>
          <w:szCs w:val="24"/>
        </w:rPr>
        <w:t>Mohamud</w:t>
      </w:r>
      <w:proofErr w:type="spellEnd"/>
      <w:r w:rsidRPr="00DB01AB">
        <w:rPr>
          <w:rFonts w:ascii="Times New Roman" w:hAnsi="Times New Roman" w:cs="Times New Roman"/>
          <w:sz w:val="24"/>
          <w:szCs w:val="24"/>
        </w:rPr>
        <w:t>, Senior Statistical Officer</w:t>
      </w:r>
    </w:p>
    <w:p w:rsidR="008A0913" w:rsidRPr="00DB01AB" w:rsidRDefault="008A0913" w:rsidP="00DD2867">
      <w:pPr>
        <w:keepNext/>
        <w:spacing w:after="0" w:line="240" w:lineRule="auto"/>
        <w:ind w:right="302"/>
        <w:jc w:val="both"/>
        <w:outlineLvl w:val="1"/>
        <w:rPr>
          <w:rFonts w:ascii="Times New Roman" w:hAnsi="Times New Roman" w:cs="Times New Roman"/>
          <w:sz w:val="24"/>
          <w:szCs w:val="24"/>
          <w:lang w:val="fr-FR"/>
        </w:rPr>
      </w:pPr>
      <w:r w:rsidRPr="00DB01AB">
        <w:rPr>
          <w:rFonts w:ascii="Times New Roman" w:hAnsi="Times New Roman" w:cs="Times New Roman"/>
          <w:sz w:val="24"/>
          <w:szCs w:val="24"/>
        </w:rPr>
        <w:t>Mauritius Fire and Rescue Service</w:t>
      </w:r>
    </w:p>
    <w:p w:rsidR="008A0913" w:rsidRPr="00DB01AB" w:rsidRDefault="00DB234D" w:rsidP="00DD2867">
      <w:pPr>
        <w:keepNext/>
        <w:spacing w:after="0" w:line="240" w:lineRule="auto"/>
        <w:ind w:right="302"/>
        <w:jc w:val="both"/>
        <w:outlineLvl w:val="1"/>
        <w:rPr>
          <w:rFonts w:ascii="Times New Roman" w:hAnsi="Times New Roman" w:cs="Times New Roman"/>
          <w:sz w:val="24"/>
          <w:szCs w:val="24"/>
          <w:lang w:val="fr-FR"/>
        </w:rPr>
      </w:pPr>
      <w:r>
        <w:rPr>
          <w:rFonts w:ascii="Times New Roman" w:hAnsi="Times New Roman" w:cs="Times New Roman"/>
          <w:sz w:val="24"/>
          <w:szCs w:val="24"/>
          <w:lang w:val="fr-FR"/>
        </w:rPr>
        <w:t xml:space="preserve">14, </w:t>
      </w:r>
      <w:proofErr w:type="spellStart"/>
      <w:r>
        <w:rPr>
          <w:rFonts w:ascii="Times New Roman" w:hAnsi="Times New Roman" w:cs="Times New Roman"/>
          <w:sz w:val="24"/>
          <w:szCs w:val="24"/>
          <w:lang w:val="fr-FR"/>
        </w:rPr>
        <w:t>Desc</w:t>
      </w:r>
      <w:r w:rsidR="008A0913" w:rsidRPr="00DB01AB">
        <w:rPr>
          <w:rFonts w:ascii="Times New Roman" w:hAnsi="Times New Roman" w:cs="Times New Roman"/>
          <w:sz w:val="24"/>
          <w:szCs w:val="24"/>
          <w:lang w:val="fr-FR"/>
        </w:rPr>
        <w:t>hartes</w:t>
      </w:r>
      <w:proofErr w:type="spellEnd"/>
      <w:r w:rsidR="00374BB5" w:rsidRPr="00DB01AB">
        <w:rPr>
          <w:rFonts w:ascii="Times New Roman" w:hAnsi="Times New Roman" w:cs="Times New Roman"/>
          <w:sz w:val="24"/>
          <w:szCs w:val="24"/>
          <w:lang w:val="fr-FR"/>
        </w:rPr>
        <w:t xml:space="preserve"> </w:t>
      </w:r>
      <w:r w:rsidR="00656C6C">
        <w:rPr>
          <w:rFonts w:ascii="Times New Roman" w:hAnsi="Times New Roman" w:cs="Times New Roman"/>
          <w:sz w:val="24"/>
          <w:szCs w:val="24"/>
          <w:lang w:val="fr-FR"/>
        </w:rPr>
        <w:t>S</w:t>
      </w:r>
      <w:r w:rsidR="008A0913" w:rsidRPr="00DB01AB">
        <w:rPr>
          <w:rFonts w:ascii="Times New Roman" w:hAnsi="Times New Roman" w:cs="Times New Roman"/>
          <w:sz w:val="24"/>
          <w:szCs w:val="24"/>
          <w:lang w:val="fr-FR"/>
        </w:rPr>
        <w:t>treet, Port-Louis</w:t>
      </w:r>
    </w:p>
    <w:p w:rsidR="008A0913" w:rsidRPr="00F8038C" w:rsidRDefault="008A0913" w:rsidP="00DD2867">
      <w:pPr>
        <w:keepNext/>
        <w:spacing w:after="0" w:line="240" w:lineRule="auto"/>
        <w:ind w:right="302"/>
        <w:jc w:val="both"/>
        <w:outlineLvl w:val="1"/>
        <w:rPr>
          <w:rStyle w:val="Hyperlink"/>
          <w:u w:val="none"/>
        </w:rPr>
      </w:pPr>
      <w:r w:rsidRPr="00DB01AB">
        <w:rPr>
          <w:rFonts w:ascii="Times New Roman" w:hAnsi="Times New Roman" w:cs="Times New Roman"/>
          <w:sz w:val="24"/>
          <w:szCs w:val="24"/>
        </w:rPr>
        <w:t xml:space="preserve">Email: </w:t>
      </w:r>
      <w:hyperlink r:id="rId16" w:history="1">
        <w:r w:rsidRPr="00F8038C">
          <w:rPr>
            <w:rStyle w:val="Hyperlink"/>
            <w:rFonts w:ascii="Times New Roman" w:hAnsi="Times New Roman" w:cs="Times New Roman"/>
            <w:sz w:val="24"/>
            <w:szCs w:val="24"/>
            <w:u w:val="none"/>
          </w:rPr>
          <w:t>fmohamud@govmu.org</w:t>
        </w:r>
      </w:hyperlink>
      <w:r w:rsidRPr="00DB01AB">
        <w:rPr>
          <w:rFonts w:ascii="Times New Roman" w:hAnsi="Times New Roman" w:cs="Times New Roman"/>
          <w:sz w:val="24"/>
          <w:szCs w:val="24"/>
        </w:rPr>
        <w:t xml:space="preserve">, </w:t>
      </w:r>
      <w:hyperlink r:id="rId17" w:history="1">
        <w:r w:rsidRPr="00493A06">
          <w:rPr>
            <w:rStyle w:val="Hyperlink"/>
            <w:rFonts w:ascii="Times New Roman" w:hAnsi="Times New Roman" w:cs="Times New Roman"/>
            <w:sz w:val="24"/>
            <w:szCs w:val="24"/>
            <w:u w:val="none"/>
          </w:rPr>
          <w:t>su_mfrs@govmu</w:t>
        </w:r>
      </w:hyperlink>
      <w:r w:rsidRPr="00F8038C">
        <w:rPr>
          <w:rStyle w:val="Hyperlink"/>
          <w:u w:val="none"/>
        </w:rPr>
        <w:t>.</w:t>
      </w:r>
      <w:r w:rsidRPr="00F8038C">
        <w:rPr>
          <w:rStyle w:val="Hyperlink"/>
          <w:rFonts w:ascii="Times New Roman" w:hAnsi="Times New Roman" w:cs="Times New Roman"/>
          <w:sz w:val="24"/>
          <w:szCs w:val="24"/>
          <w:u w:val="none"/>
        </w:rPr>
        <w:t>org</w:t>
      </w:r>
    </w:p>
    <w:p w:rsidR="008A0913" w:rsidRPr="003263DD" w:rsidRDefault="008A0913" w:rsidP="00DD2867">
      <w:pPr>
        <w:tabs>
          <w:tab w:val="left" w:pos="0"/>
        </w:tabs>
        <w:spacing w:after="0" w:line="240" w:lineRule="auto"/>
        <w:jc w:val="both"/>
        <w:rPr>
          <w:rFonts w:ascii="Times New Roman" w:hAnsi="Times New Roman" w:cs="Times New Roman"/>
          <w:bCs/>
          <w:sz w:val="24"/>
          <w:szCs w:val="24"/>
        </w:rPr>
      </w:pPr>
      <w:r w:rsidRPr="00DB01AB">
        <w:rPr>
          <w:rFonts w:ascii="Times New Roman" w:hAnsi="Times New Roman" w:cs="Times New Roman"/>
          <w:bCs/>
          <w:sz w:val="24"/>
          <w:szCs w:val="24"/>
        </w:rPr>
        <w:t>Tel: (230) 210-8885 ext 223</w:t>
      </w:r>
    </w:p>
    <w:p w:rsidR="008A0913" w:rsidRDefault="008A0913" w:rsidP="008A0913">
      <w:pPr>
        <w:tabs>
          <w:tab w:val="left" w:pos="0"/>
        </w:tabs>
        <w:spacing w:after="0" w:line="240" w:lineRule="auto"/>
        <w:ind w:firstLine="1418"/>
        <w:jc w:val="both"/>
        <w:rPr>
          <w:rFonts w:ascii="Times New Roman" w:hAnsi="Times New Roman" w:cs="Times New Roman"/>
          <w:bCs/>
          <w:sz w:val="24"/>
          <w:szCs w:val="24"/>
        </w:rPr>
      </w:pPr>
    </w:p>
    <w:p w:rsidR="008A0913" w:rsidRDefault="008A0913" w:rsidP="008A0913">
      <w:pPr>
        <w:tabs>
          <w:tab w:val="left" w:pos="0"/>
        </w:tabs>
        <w:spacing w:after="0" w:line="240" w:lineRule="auto"/>
        <w:ind w:firstLine="1418"/>
        <w:jc w:val="both"/>
        <w:rPr>
          <w:rFonts w:ascii="Times New Roman" w:hAnsi="Times New Roman" w:cs="Times New Roman"/>
          <w:bCs/>
          <w:sz w:val="24"/>
          <w:szCs w:val="24"/>
        </w:rPr>
      </w:pPr>
    </w:p>
    <w:p w:rsidR="00374BB5" w:rsidRDefault="00374BB5" w:rsidP="008A0913">
      <w:pPr>
        <w:tabs>
          <w:tab w:val="left" w:pos="0"/>
        </w:tabs>
        <w:spacing w:after="0" w:line="240" w:lineRule="auto"/>
        <w:ind w:firstLine="1418"/>
        <w:jc w:val="both"/>
        <w:rPr>
          <w:rFonts w:ascii="Times New Roman" w:hAnsi="Times New Roman" w:cs="Times New Roman"/>
          <w:bCs/>
          <w:sz w:val="24"/>
          <w:szCs w:val="24"/>
        </w:rPr>
      </w:pPr>
    </w:p>
    <w:p w:rsidR="006910B1" w:rsidRDefault="006910B1" w:rsidP="008A0913">
      <w:pPr>
        <w:tabs>
          <w:tab w:val="left" w:pos="0"/>
        </w:tabs>
        <w:spacing w:after="0" w:line="240" w:lineRule="auto"/>
        <w:ind w:firstLine="1418"/>
        <w:jc w:val="both"/>
        <w:rPr>
          <w:rFonts w:ascii="Times New Roman" w:hAnsi="Times New Roman" w:cs="Times New Roman"/>
          <w:bCs/>
          <w:sz w:val="24"/>
          <w:szCs w:val="24"/>
        </w:rPr>
      </w:pPr>
    </w:p>
    <w:p w:rsidR="00DB01AB" w:rsidRDefault="00DB01AB" w:rsidP="008A0913">
      <w:pPr>
        <w:tabs>
          <w:tab w:val="left" w:pos="0"/>
        </w:tabs>
        <w:spacing w:after="0" w:line="240" w:lineRule="auto"/>
        <w:ind w:firstLine="1418"/>
        <w:jc w:val="both"/>
        <w:rPr>
          <w:rFonts w:ascii="Times New Roman" w:hAnsi="Times New Roman" w:cs="Times New Roman"/>
          <w:bCs/>
          <w:sz w:val="24"/>
          <w:szCs w:val="24"/>
        </w:rPr>
      </w:pPr>
    </w:p>
    <w:p w:rsidR="008A0913" w:rsidRPr="003263DD" w:rsidRDefault="008A0913" w:rsidP="008A0913">
      <w:pPr>
        <w:tabs>
          <w:tab w:val="left" w:pos="0"/>
        </w:tabs>
        <w:spacing w:after="0" w:line="240" w:lineRule="auto"/>
        <w:ind w:firstLine="1418"/>
        <w:jc w:val="both"/>
        <w:rPr>
          <w:rFonts w:ascii="Times New Roman" w:hAnsi="Times New Roman" w:cs="Times New Roman"/>
          <w:bCs/>
          <w:sz w:val="24"/>
          <w:szCs w:val="24"/>
        </w:rPr>
      </w:pPr>
    </w:p>
    <w:p w:rsidR="008A0913" w:rsidRPr="003263DD" w:rsidRDefault="008A0913" w:rsidP="008A0913">
      <w:pPr>
        <w:tabs>
          <w:tab w:val="left" w:pos="0"/>
        </w:tabs>
        <w:spacing w:after="0" w:line="240" w:lineRule="auto"/>
        <w:jc w:val="both"/>
        <w:rPr>
          <w:rFonts w:ascii="Times New Roman" w:hAnsi="Times New Roman" w:cs="Times New Roman"/>
          <w:b/>
          <w:bCs/>
          <w:sz w:val="24"/>
          <w:szCs w:val="24"/>
        </w:rPr>
      </w:pPr>
      <w:r w:rsidRPr="003263DD">
        <w:rPr>
          <w:rFonts w:ascii="Times New Roman" w:hAnsi="Times New Roman" w:cs="Times New Roman"/>
          <w:b/>
          <w:bCs/>
          <w:sz w:val="24"/>
          <w:szCs w:val="24"/>
        </w:rPr>
        <w:t xml:space="preserve">Statistics Mauritius </w:t>
      </w:r>
    </w:p>
    <w:p w:rsidR="008A0913" w:rsidRPr="003263DD" w:rsidRDefault="008A0913" w:rsidP="008A0913">
      <w:pPr>
        <w:tabs>
          <w:tab w:val="left" w:pos="0"/>
        </w:tabs>
        <w:spacing w:after="0" w:line="240" w:lineRule="auto"/>
        <w:jc w:val="both"/>
        <w:rPr>
          <w:rFonts w:ascii="Times New Roman" w:hAnsi="Times New Roman" w:cs="Times New Roman"/>
          <w:b/>
          <w:bCs/>
          <w:sz w:val="24"/>
          <w:szCs w:val="24"/>
        </w:rPr>
      </w:pPr>
      <w:r w:rsidRPr="003263DD">
        <w:rPr>
          <w:rFonts w:ascii="Times New Roman" w:hAnsi="Times New Roman" w:cs="Times New Roman"/>
          <w:b/>
          <w:bCs/>
          <w:sz w:val="24"/>
          <w:szCs w:val="24"/>
        </w:rPr>
        <w:t>Ministry of Finance and Economic Development</w:t>
      </w:r>
    </w:p>
    <w:p w:rsidR="008A0913" w:rsidRPr="003263DD" w:rsidRDefault="008A0913" w:rsidP="008A0913">
      <w:pPr>
        <w:tabs>
          <w:tab w:val="left" w:pos="0"/>
        </w:tabs>
        <w:spacing w:after="0" w:line="240" w:lineRule="auto"/>
        <w:jc w:val="both"/>
        <w:rPr>
          <w:rFonts w:ascii="Times New Roman" w:hAnsi="Times New Roman" w:cs="Times New Roman"/>
          <w:b/>
          <w:bCs/>
          <w:sz w:val="24"/>
          <w:szCs w:val="24"/>
        </w:rPr>
      </w:pPr>
      <w:r w:rsidRPr="003263DD">
        <w:rPr>
          <w:rFonts w:ascii="Times New Roman" w:hAnsi="Times New Roman" w:cs="Times New Roman"/>
          <w:b/>
          <w:bCs/>
          <w:sz w:val="24"/>
          <w:szCs w:val="24"/>
        </w:rPr>
        <w:t>Port Louis</w:t>
      </w:r>
    </w:p>
    <w:p w:rsidR="00347A41" w:rsidRPr="00EC3A61" w:rsidRDefault="008A0913" w:rsidP="00EC3A61">
      <w:pPr>
        <w:tabs>
          <w:tab w:val="left" w:pos="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May</w:t>
      </w:r>
      <w:r w:rsidRPr="003263DD">
        <w:rPr>
          <w:rFonts w:ascii="Times New Roman" w:hAnsi="Times New Roman" w:cs="Times New Roman"/>
          <w:b/>
          <w:bCs/>
          <w:sz w:val="24"/>
          <w:szCs w:val="24"/>
        </w:rPr>
        <w:t xml:space="preserve"> 201</w:t>
      </w:r>
      <w:r w:rsidR="000D382A">
        <w:rPr>
          <w:rFonts w:ascii="Times New Roman" w:hAnsi="Times New Roman" w:cs="Times New Roman"/>
          <w:b/>
          <w:bCs/>
          <w:sz w:val="24"/>
          <w:szCs w:val="24"/>
        </w:rPr>
        <w:t>6</w:t>
      </w:r>
    </w:p>
    <w:p w:rsidR="00347A41" w:rsidRDefault="00347A41" w:rsidP="00347A41">
      <w:pPr>
        <w:ind w:left="360"/>
        <w:jc w:val="center"/>
        <w:rPr>
          <w:rFonts w:ascii="Times New Roman" w:hAnsi="Times New Roman" w:cs="Times New Roman"/>
          <w:b/>
          <w:bCs/>
          <w:sz w:val="28"/>
          <w:szCs w:val="28"/>
        </w:rPr>
      </w:pPr>
    </w:p>
    <w:p w:rsidR="00374BB5" w:rsidRDefault="00374BB5" w:rsidP="0002788B">
      <w:pPr>
        <w:spacing w:line="480" w:lineRule="auto"/>
        <w:ind w:left="360"/>
        <w:jc w:val="center"/>
        <w:rPr>
          <w:rFonts w:ascii="Times New Roman" w:hAnsi="Times New Roman" w:cs="Times New Roman"/>
          <w:b/>
          <w:bCs/>
          <w:sz w:val="28"/>
          <w:szCs w:val="28"/>
        </w:rPr>
      </w:pPr>
    </w:p>
    <w:p w:rsidR="00374BB5" w:rsidRDefault="00374BB5" w:rsidP="0002788B">
      <w:pPr>
        <w:spacing w:line="480" w:lineRule="auto"/>
        <w:ind w:left="360"/>
        <w:jc w:val="center"/>
        <w:rPr>
          <w:rFonts w:ascii="Times New Roman" w:hAnsi="Times New Roman" w:cs="Times New Roman"/>
          <w:b/>
          <w:bCs/>
          <w:sz w:val="28"/>
          <w:szCs w:val="28"/>
        </w:rPr>
      </w:pPr>
    </w:p>
    <w:p w:rsidR="00374BB5" w:rsidRDefault="00374BB5" w:rsidP="0002788B">
      <w:pPr>
        <w:spacing w:line="480" w:lineRule="auto"/>
        <w:ind w:left="360"/>
        <w:jc w:val="center"/>
        <w:rPr>
          <w:rFonts w:ascii="Times New Roman" w:hAnsi="Times New Roman" w:cs="Times New Roman"/>
          <w:b/>
          <w:bCs/>
          <w:sz w:val="28"/>
          <w:szCs w:val="28"/>
        </w:rPr>
      </w:pPr>
    </w:p>
    <w:p w:rsidR="00374BB5" w:rsidRDefault="00374BB5" w:rsidP="0002788B">
      <w:pPr>
        <w:spacing w:line="480" w:lineRule="auto"/>
        <w:ind w:left="360"/>
        <w:jc w:val="center"/>
        <w:rPr>
          <w:rFonts w:ascii="Times New Roman" w:hAnsi="Times New Roman" w:cs="Times New Roman"/>
          <w:b/>
          <w:bCs/>
          <w:sz w:val="28"/>
          <w:szCs w:val="28"/>
        </w:rPr>
      </w:pPr>
    </w:p>
    <w:p w:rsidR="00374BB5" w:rsidRDefault="00374BB5" w:rsidP="0002788B">
      <w:pPr>
        <w:spacing w:line="480" w:lineRule="auto"/>
        <w:ind w:left="360"/>
        <w:jc w:val="center"/>
        <w:rPr>
          <w:rFonts w:ascii="Times New Roman" w:hAnsi="Times New Roman" w:cs="Times New Roman"/>
          <w:b/>
          <w:bCs/>
          <w:sz w:val="28"/>
          <w:szCs w:val="28"/>
        </w:rPr>
      </w:pPr>
    </w:p>
    <w:p w:rsidR="00374BB5" w:rsidRDefault="00374BB5" w:rsidP="0002788B">
      <w:pPr>
        <w:spacing w:line="480" w:lineRule="auto"/>
        <w:ind w:left="360"/>
        <w:jc w:val="center"/>
        <w:rPr>
          <w:rFonts w:ascii="Times New Roman" w:hAnsi="Times New Roman" w:cs="Times New Roman"/>
          <w:b/>
          <w:bCs/>
          <w:sz w:val="28"/>
          <w:szCs w:val="28"/>
        </w:rPr>
      </w:pPr>
    </w:p>
    <w:sectPr w:rsidR="00374BB5" w:rsidSect="005C4F6E">
      <w:headerReference w:type="default" r:id="rId18"/>
      <w:footerReference w:type="even" r:id="rId19"/>
      <w:headerReference w:type="first" r:id="rId20"/>
      <w:footerReference w:type="first" r:id="rId21"/>
      <w:pgSz w:w="11909" w:h="16834" w:code="9"/>
      <w:pgMar w:top="994" w:right="1440" w:bottom="1440" w:left="1440"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94C" w:rsidRDefault="0040494C" w:rsidP="00917496">
      <w:pPr>
        <w:spacing w:after="0" w:line="240" w:lineRule="auto"/>
      </w:pPr>
      <w:r>
        <w:separator/>
      </w:r>
    </w:p>
  </w:endnote>
  <w:endnote w:type="continuationSeparator" w:id="0">
    <w:p w:rsidR="0040494C" w:rsidRDefault="0040494C" w:rsidP="00917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EF5" w:rsidRDefault="00834A2A" w:rsidP="00D92534">
    <w:pPr>
      <w:pStyle w:val="Footer"/>
      <w:framePr w:wrap="around" w:vAnchor="text" w:hAnchor="margin" w:xAlign="center" w:y="1"/>
      <w:rPr>
        <w:rStyle w:val="PageNumber"/>
      </w:rPr>
    </w:pPr>
    <w:r>
      <w:rPr>
        <w:rStyle w:val="PageNumber"/>
      </w:rPr>
      <w:fldChar w:fldCharType="begin"/>
    </w:r>
    <w:r w:rsidR="008A0913">
      <w:rPr>
        <w:rStyle w:val="PageNumber"/>
      </w:rPr>
      <w:instrText xml:space="preserve">PAGE  </w:instrText>
    </w:r>
    <w:r>
      <w:rPr>
        <w:rStyle w:val="PageNumber"/>
      </w:rPr>
      <w:fldChar w:fldCharType="separate"/>
    </w:r>
    <w:r w:rsidR="000C1BD6">
      <w:rPr>
        <w:rStyle w:val="PageNumber"/>
        <w:noProof/>
      </w:rPr>
      <w:t>4</w:t>
    </w:r>
    <w:r>
      <w:rPr>
        <w:rStyle w:val="PageNumber"/>
      </w:rPr>
      <w:fldChar w:fldCharType="end"/>
    </w:r>
  </w:p>
  <w:p w:rsidR="00614EF5" w:rsidRDefault="004049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02A" w:rsidRDefault="0040494C">
    <w:pPr>
      <w:pStyle w:val="Footer"/>
      <w:jc w:val="center"/>
    </w:pPr>
  </w:p>
  <w:p w:rsidR="004E702A" w:rsidRDefault="004049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94C" w:rsidRDefault="0040494C" w:rsidP="00917496">
      <w:pPr>
        <w:spacing w:after="0" w:line="240" w:lineRule="auto"/>
      </w:pPr>
      <w:r>
        <w:separator/>
      </w:r>
    </w:p>
  </w:footnote>
  <w:footnote w:type="continuationSeparator" w:id="0">
    <w:p w:rsidR="0040494C" w:rsidRDefault="0040494C" w:rsidP="009174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500"/>
      <w:docPartObj>
        <w:docPartGallery w:val="Page Numbers (Top of Page)"/>
        <w:docPartUnique/>
      </w:docPartObj>
    </w:sdtPr>
    <w:sdtEndPr/>
    <w:sdtContent>
      <w:p w:rsidR="006B117D" w:rsidRDefault="00687024" w:rsidP="006B117D">
        <w:pPr>
          <w:pStyle w:val="Header"/>
          <w:jc w:val="center"/>
        </w:pPr>
        <w:r>
          <w:fldChar w:fldCharType="begin"/>
        </w:r>
        <w:r>
          <w:instrText xml:space="preserve"> PAGE   \* MERGEFORMAT </w:instrText>
        </w:r>
        <w:r>
          <w:fldChar w:fldCharType="separate"/>
        </w:r>
        <w:r w:rsidR="002072EF">
          <w:rPr>
            <w:noProof/>
          </w:rPr>
          <w:t>4</w:t>
        </w:r>
        <w:r>
          <w:rPr>
            <w:noProof/>
          </w:rPr>
          <w:fldChar w:fldCharType="end"/>
        </w:r>
      </w:p>
    </w:sdtContent>
  </w:sdt>
  <w:p w:rsidR="00614EF5" w:rsidRDefault="0040494C" w:rsidP="00572E7B">
    <w:pPr>
      <w:pStyle w:val="Header"/>
      <w:spacing w:line="276"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499"/>
      <w:docPartObj>
        <w:docPartGallery w:val="Page Numbers (Top of Page)"/>
        <w:docPartUnique/>
      </w:docPartObj>
    </w:sdtPr>
    <w:sdtEndPr/>
    <w:sdtContent>
      <w:p w:rsidR="006B117D" w:rsidRDefault="00687024">
        <w:pPr>
          <w:pStyle w:val="Header"/>
          <w:jc w:val="center"/>
        </w:pPr>
        <w:r>
          <w:fldChar w:fldCharType="begin"/>
        </w:r>
        <w:r>
          <w:instrText xml:space="preserve"> PAGE   \* MERGEFORMAT </w:instrText>
        </w:r>
        <w:r>
          <w:fldChar w:fldCharType="separate"/>
        </w:r>
        <w:r w:rsidR="002072EF">
          <w:rPr>
            <w:noProof/>
          </w:rPr>
          <w:t>3</w:t>
        </w:r>
        <w:r>
          <w:rPr>
            <w:noProof/>
          </w:rPr>
          <w:fldChar w:fldCharType="end"/>
        </w:r>
      </w:p>
    </w:sdtContent>
  </w:sdt>
  <w:p w:rsidR="006B117D" w:rsidRDefault="006B11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97884"/>
    <w:multiLevelType w:val="hybridMultilevel"/>
    <w:tmpl w:val="42C26932"/>
    <w:lvl w:ilvl="0" w:tplc="CDE43A28">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8B30E6"/>
    <w:multiLevelType w:val="hybridMultilevel"/>
    <w:tmpl w:val="96AA8C12"/>
    <w:lvl w:ilvl="0" w:tplc="CDE43A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301B59"/>
    <w:multiLevelType w:val="hybridMultilevel"/>
    <w:tmpl w:val="B5C00CC0"/>
    <w:lvl w:ilvl="0" w:tplc="2A8A716E">
      <w:start w:val="1"/>
      <w:numFmt w:val="lowerRoman"/>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7282F8D"/>
    <w:multiLevelType w:val="hybridMultilevel"/>
    <w:tmpl w:val="5276D934"/>
    <w:lvl w:ilvl="0" w:tplc="2A8A716E">
      <w:start w:val="1"/>
      <w:numFmt w:val="lowerRoman"/>
      <w:lvlText w:val="(%1)"/>
      <w:lvlJc w:val="left"/>
      <w:pPr>
        <w:ind w:left="6120" w:hanging="360"/>
      </w:pPr>
      <w:rPr>
        <w:rFonts w:ascii="Times New Roman" w:eastAsia="Times New Roman" w:hAnsi="Times New Roman" w:cs="Times New Roman"/>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4">
    <w:nsid w:val="37574DDE"/>
    <w:multiLevelType w:val="hybridMultilevel"/>
    <w:tmpl w:val="056C3BF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BC40B1"/>
    <w:multiLevelType w:val="hybridMultilevel"/>
    <w:tmpl w:val="310CE76C"/>
    <w:lvl w:ilvl="0" w:tplc="2A8A716E">
      <w:start w:val="1"/>
      <w:numFmt w:val="lowerRoman"/>
      <w:lvlText w:val="(%1)"/>
      <w:lvlJc w:val="left"/>
      <w:pPr>
        <w:ind w:left="144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56764E"/>
    <w:multiLevelType w:val="hybridMultilevel"/>
    <w:tmpl w:val="47FA9FB0"/>
    <w:lvl w:ilvl="0" w:tplc="2D9AD66A">
      <w:start w:val="4"/>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5920DD4"/>
    <w:multiLevelType w:val="hybridMultilevel"/>
    <w:tmpl w:val="A41E8EE2"/>
    <w:lvl w:ilvl="0" w:tplc="0409000F">
      <w:start w:val="4"/>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A7171D"/>
    <w:multiLevelType w:val="hybridMultilevel"/>
    <w:tmpl w:val="8D5A5F3C"/>
    <w:lvl w:ilvl="0" w:tplc="4A9EFDBA">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665E654E"/>
    <w:multiLevelType w:val="hybridMultilevel"/>
    <w:tmpl w:val="886E5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A94CA3"/>
    <w:multiLevelType w:val="hybridMultilevel"/>
    <w:tmpl w:val="4FB42F88"/>
    <w:lvl w:ilvl="0" w:tplc="4078A8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
  </w:num>
  <w:num w:numId="3">
    <w:abstractNumId w:val="4"/>
  </w:num>
  <w:num w:numId="4">
    <w:abstractNumId w:val="3"/>
  </w:num>
  <w:num w:numId="5">
    <w:abstractNumId w:val="6"/>
  </w:num>
  <w:num w:numId="6">
    <w:abstractNumId w:val="2"/>
  </w:num>
  <w:num w:numId="7">
    <w:abstractNumId w:val="1"/>
  </w:num>
  <w:num w:numId="8">
    <w:abstractNumId w:val="0"/>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913"/>
    <w:rsid w:val="00015D46"/>
    <w:rsid w:val="000161AC"/>
    <w:rsid w:val="0002788B"/>
    <w:rsid w:val="000327BD"/>
    <w:rsid w:val="0003707A"/>
    <w:rsid w:val="000430D0"/>
    <w:rsid w:val="00055F15"/>
    <w:rsid w:val="00073D05"/>
    <w:rsid w:val="000B0CDA"/>
    <w:rsid w:val="000C1BD6"/>
    <w:rsid w:val="000C559C"/>
    <w:rsid w:val="000D382A"/>
    <w:rsid w:val="000E2A50"/>
    <w:rsid w:val="000E7703"/>
    <w:rsid w:val="00103FDE"/>
    <w:rsid w:val="0015651E"/>
    <w:rsid w:val="0016146B"/>
    <w:rsid w:val="00167D21"/>
    <w:rsid w:val="001E115A"/>
    <w:rsid w:val="001E11D7"/>
    <w:rsid w:val="002072EF"/>
    <w:rsid w:val="00224D00"/>
    <w:rsid w:val="002257BD"/>
    <w:rsid w:val="002358E1"/>
    <w:rsid w:val="0024284B"/>
    <w:rsid w:val="00256ECE"/>
    <w:rsid w:val="00273368"/>
    <w:rsid w:val="002749C9"/>
    <w:rsid w:val="002843D0"/>
    <w:rsid w:val="002856BA"/>
    <w:rsid w:val="00287511"/>
    <w:rsid w:val="00293013"/>
    <w:rsid w:val="002B4E08"/>
    <w:rsid w:val="002C43B3"/>
    <w:rsid w:val="002E483D"/>
    <w:rsid w:val="002F00C9"/>
    <w:rsid w:val="002F27BD"/>
    <w:rsid w:val="002F4303"/>
    <w:rsid w:val="0030742B"/>
    <w:rsid w:val="00347A41"/>
    <w:rsid w:val="00351D9B"/>
    <w:rsid w:val="00356A87"/>
    <w:rsid w:val="00364211"/>
    <w:rsid w:val="00372B91"/>
    <w:rsid w:val="00374BB5"/>
    <w:rsid w:val="00391631"/>
    <w:rsid w:val="003A01D2"/>
    <w:rsid w:val="003A7E78"/>
    <w:rsid w:val="003E172B"/>
    <w:rsid w:val="00401D93"/>
    <w:rsid w:val="0040494C"/>
    <w:rsid w:val="00411A17"/>
    <w:rsid w:val="00414B16"/>
    <w:rsid w:val="00420409"/>
    <w:rsid w:val="00425A20"/>
    <w:rsid w:val="00442019"/>
    <w:rsid w:val="004438E9"/>
    <w:rsid w:val="00472E23"/>
    <w:rsid w:val="00481868"/>
    <w:rsid w:val="004B1B90"/>
    <w:rsid w:val="004D362B"/>
    <w:rsid w:val="004F26E2"/>
    <w:rsid w:val="00551003"/>
    <w:rsid w:val="00584572"/>
    <w:rsid w:val="005B69B7"/>
    <w:rsid w:val="005C4F6E"/>
    <w:rsid w:val="005F6873"/>
    <w:rsid w:val="00607171"/>
    <w:rsid w:val="006106A0"/>
    <w:rsid w:val="00611E20"/>
    <w:rsid w:val="00626B10"/>
    <w:rsid w:val="00631EEA"/>
    <w:rsid w:val="006566BB"/>
    <w:rsid w:val="00656C6C"/>
    <w:rsid w:val="00666493"/>
    <w:rsid w:val="006710AF"/>
    <w:rsid w:val="00687024"/>
    <w:rsid w:val="006910B1"/>
    <w:rsid w:val="006A180D"/>
    <w:rsid w:val="006B09BC"/>
    <w:rsid w:val="006B117D"/>
    <w:rsid w:val="006B1328"/>
    <w:rsid w:val="006C6F63"/>
    <w:rsid w:val="006F4476"/>
    <w:rsid w:val="00716807"/>
    <w:rsid w:val="00722387"/>
    <w:rsid w:val="007276F8"/>
    <w:rsid w:val="00750FFA"/>
    <w:rsid w:val="007655DE"/>
    <w:rsid w:val="00777BED"/>
    <w:rsid w:val="007816E1"/>
    <w:rsid w:val="00795CFC"/>
    <w:rsid w:val="007A3CD0"/>
    <w:rsid w:val="007B62AF"/>
    <w:rsid w:val="007C5CB0"/>
    <w:rsid w:val="007E6166"/>
    <w:rsid w:val="007F0FB5"/>
    <w:rsid w:val="00810BCB"/>
    <w:rsid w:val="008124CE"/>
    <w:rsid w:val="00817FA5"/>
    <w:rsid w:val="00830B9D"/>
    <w:rsid w:val="0083438E"/>
    <w:rsid w:val="00834A2A"/>
    <w:rsid w:val="0086653C"/>
    <w:rsid w:val="00873F5E"/>
    <w:rsid w:val="00883342"/>
    <w:rsid w:val="00884076"/>
    <w:rsid w:val="00893DC6"/>
    <w:rsid w:val="00894379"/>
    <w:rsid w:val="008A0913"/>
    <w:rsid w:val="008A3542"/>
    <w:rsid w:val="008A4ED9"/>
    <w:rsid w:val="008C76A7"/>
    <w:rsid w:val="008E17CA"/>
    <w:rsid w:val="008F66BA"/>
    <w:rsid w:val="0091446C"/>
    <w:rsid w:val="00917496"/>
    <w:rsid w:val="00937C1E"/>
    <w:rsid w:val="00943FB3"/>
    <w:rsid w:val="0094759A"/>
    <w:rsid w:val="00954EA3"/>
    <w:rsid w:val="00967115"/>
    <w:rsid w:val="00971E44"/>
    <w:rsid w:val="00973C47"/>
    <w:rsid w:val="009932A5"/>
    <w:rsid w:val="009B4370"/>
    <w:rsid w:val="009C3D4C"/>
    <w:rsid w:val="009D3CC9"/>
    <w:rsid w:val="009D671A"/>
    <w:rsid w:val="009E3A30"/>
    <w:rsid w:val="00A30338"/>
    <w:rsid w:val="00A521CA"/>
    <w:rsid w:val="00A67FFA"/>
    <w:rsid w:val="00A96850"/>
    <w:rsid w:val="00AB4D13"/>
    <w:rsid w:val="00AE401F"/>
    <w:rsid w:val="00B10267"/>
    <w:rsid w:val="00B115BA"/>
    <w:rsid w:val="00B304C6"/>
    <w:rsid w:val="00B33B7B"/>
    <w:rsid w:val="00B7114B"/>
    <w:rsid w:val="00B84D4D"/>
    <w:rsid w:val="00B86734"/>
    <w:rsid w:val="00B9779C"/>
    <w:rsid w:val="00BB5165"/>
    <w:rsid w:val="00BE1929"/>
    <w:rsid w:val="00BF7B0F"/>
    <w:rsid w:val="00C246A8"/>
    <w:rsid w:val="00C253E7"/>
    <w:rsid w:val="00C2765F"/>
    <w:rsid w:val="00C31777"/>
    <w:rsid w:val="00C43D71"/>
    <w:rsid w:val="00C518F3"/>
    <w:rsid w:val="00C70E77"/>
    <w:rsid w:val="00C93DC3"/>
    <w:rsid w:val="00CA221A"/>
    <w:rsid w:val="00CC26B8"/>
    <w:rsid w:val="00CE26C8"/>
    <w:rsid w:val="00CE4419"/>
    <w:rsid w:val="00CE4F83"/>
    <w:rsid w:val="00D039CE"/>
    <w:rsid w:val="00D249B1"/>
    <w:rsid w:val="00D319C2"/>
    <w:rsid w:val="00D66609"/>
    <w:rsid w:val="00DB01AB"/>
    <w:rsid w:val="00DB0227"/>
    <w:rsid w:val="00DB234D"/>
    <w:rsid w:val="00DB4243"/>
    <w:rsid w:val="00DD2867"/>
    <w:rsid w:val="00DF534E"/>
    <w:rsid w:val="00E22C29"/>
    <w:rsid w:val="00E24B91"/>
    <w:rsid w:val="00E4420E"/>
    <w:rsid w:val="00E54F91"/>
    <w:rsid w:val="00E72480"/>
    <w:rsid w:val="00E81152"/>
    <w:rsid w:val="00E95C67"/>
    <w:rsid w:val="00EB1EE7"/>
    <w:rsid w:val="00EC3A61"/>
    <w:rsid w:val="00EE2C8F"/>
    <w:rsid w:val="00F23543"/>
    <w:rsid w:val="00F63AAD"/>
    <w:rsid w:val="00FA1E25"/>
    <w:rsid w:val="00FA7363"/>
    <w:rsid w:val="00FB7413"/>
    <w:rsid w:val="00FE1291"/>
    <w:rsid w:val="00FE27AF"/>
    <w:rsid w:val="00FE4DF2"/>
    <w:rsid w:val="00FF4064"/>
    <w:rsid w:val="00FF77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913"/>
    <w:pPr>
      <w:widowControl w:val="0"/>
      <w:overflowPunct w:val="0"/>
      <w:adjustRightInd w:val="0"/>
      <w:spacing w:after="240" w:line="275" w:lineRule="auto"/>
    </w:pPr>
    <w:rPr>
      <w:rFonts w:ascii="Calibri" w:eastAsia="Times New Roman"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0913"/>
    <w:rPr>
      <w:color w:val="0000FF"/>
      <w:u w:val="single"/>
    </w:rPr>
  </w:style>
  <w:style w:type="paragraph" w:styleId="ListParagraph">
    <w:name w:val="List Paragraph"/>
    <w:basedOn w:val="Normal"/>
    <w:uiPriority w:val="34"/>
    <w:qFormat/>
    <w:rsid w:val="008A0913"/>
    <w:pPr>
      <w:ind w:left="720"/>
    </w:pPr>
  </w:style>
  <w:style w:type="paragraph" w:styleId="Header">
    <w:name w:val="header"/>
    <w:basedOn w:val="Normal"/>
    <w:link w:val="HeaderChar"/>
    <w:uiPriority w:val="99"/>
    <w:rsid w:val="008A0913"/>
    <w:pPr>
      <w:tabs>
        <w:tab w:val="center" w:pos="4320"/>
        <w:tab w:val="right" w:pos="8640"/>
      </w:tabs>
    </w:pPr>
  </w:style>
  <w:style w:type="character" w:customStyle="1" w:styleId="HeaderChar">
    <w:name w:val="Header Char"/>
    <w:basedOn w:val="DefaultParagraphFont"/>
    <w:link w:val="Header"/>
    <w:uiPriority w:val="99"/>
    <w:rsid w:val="008A0913"/>
    <w:rPr>
      <w:rFonts w:ascii="Calibri" w:eastAsia="Times New Roman" w:hAnsi="Calibri" w:cs="Calibri"/>
      <w:kern w:val="28"/>
    </w:rPr>
  </w:style>
  <w:style w:type="character" w:styleId="PageNumber">
    <w:name w:val="page number"/>
    <w:basedOn w:val="DefaultParagraphFont"/>
    <w:rsid w:val="008A0913"/>
  </w:style>
  <w:style w:type="paragraph" w:styleId="Footer">
    <w:name w:val="footer"/>
    <w:basedOn w:val="Normal"/>
    <w:link w:val="FooterChar"/>
    <w:uiPriority w:val="99"/>
    <w:rsid w:val="008A0913"/>
    <w:pPr>
      <w:tabs>
        <w:tab w:val="center" w:pos="4320"/>
        <w:tab w:val="right" w:pos="8640"/>
      </w:tabs>
    </w:pPr>
    <w:rPr>
      <w:rFonts w:cs="Times New Roman"/>
    </w:rPr>
  </w:style>
  <w:style w:type="character" w:customStyle="1" w:styleId="FooterChar">
    <w:name w:val="Footer Char"/>
    <w:basedOn w:val="DefaultParagraphFont"/>
    <w:link w:val="Footer"/>
    <w:uiPriority w:val="99"/>
    <w:rsid w:val="008A0913"/>
    <w:rPr>
      <w:rFonts w:ascii="Calibri" w:eastAsia="Times New Roman" w:hAnsi="Calibri" w:cs="Times New Roman"/>
      <w:kern w:val="28"/>
    </w:rPr>
  </w:style>
  <w:style w:type="paragraph" w:styleId="BalloonText">
    <w:name w:val="Balloon Text"/>
    <w:basedOn w:val="Normal"/>
    <w:link w:val="BalloonTextChar"/>
    <w:uiPriority w:val="99"/>
    <w:semiHidden/>
    <w:unhideWhenUsed/>
    <w:rsid w:val="008A0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913"/>
    <w:rPr>
      <w:rFonts w:ascii="Tahoma" w:eastAsia="Times New Roman" w:hAnsi="Tahoma" w:cs="Tahoma"/>
      <w:kern w:val="28"/>
      <w:sz w:val="16"/>
      <w:szCs w:val="16"/>
    </w:rPr>
  </w:style>
  <w:style w:type="paragraph" w:customStyle="1" w:styleId="Default">
    <w:name w:val="Default"/>
    <w:rsid w:val="00DF534E"/>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913"/>
    <w:pPr>
      <w:widowControl w:val="0"/>
      <w:overflowPunct w:val="0"/>
      <w:adjustRightInd w:val="0"/>
      <w:spacing w:after="240" w:line="275" w:lineRule="auto"/>
    </w:pPr>
    <w:rPr>
      <w:rFonts w:ascii="Calibri" w:eastAsia="Times New Roman"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0913"/>
    <w:rPr>
      <w:color w:val="0000FF"/>
      <w:u w:val="single"/>
    </w:rPr>
  </w:style>
  <w:style w:type="paragraph" w:styleId="ListParagraph">
    <w:name w:val="List Paragraph"/>
    <w:basedOn w:val="Normal"/>
    <w:uiPriority w:val="34"/>
    <w:qFormat/>
    <w:rsid w:val="008A0913"/>
    <w:pPr>
      <w:ind w:left="720"/>
    </w:pPr>
  </w:style>
  <w:style w:type="paragraph" w:styleId="Header">
    <w:name w:val="header"/>
    <w:basedOn w:val="Normal"/>
    <w:link w:val="HeaderChar"/>
    <w:uiPriority w:val="99"/>
    <w:rsid w:val="008A0913"/>
    <w:pPr>
      <w:tabs>
        <w:tab w:val="center" w:pos="4320"/>
        <w:tab w:val="right" w:pos="8640"/>
      </w:tabs>
    </w:pPr>
  </w:style>
  <w:style w:type="character" w:customStyle="1" w:styleId="HeaderChar">
    <w:name w:val="Header Char"/>
    <w:basedOn w:val="DefaultParagraphFont"/>
    <w:link w:val="Header"/>
    <w:uiPriority w:val="99"/>
    <w:rsid w:val="008A0913"/>
    <w:rPr>
      <w:rFonts w:ascii="Calibri" w:eastAsia="Times New Roman" w:hAnsi="Calibri" w:cs="Calibri"/>
      <w:kern w:val="28"/>
    </w:rPr>
  </w:style>
  <w:style w:type="character" w:styleId="PageNumber">
    <w:name w:val="page number"/>
    <w:basedOn w:val="DefaultParagraphFont"/>
    <w:rsid w:val="008A0913"/>
  </w:style>
  <w:style w:type="paragraph" w:styleId="Footer">
    <w:name w:val="footer"/>
    <w:basedOn w:val="Normal"/>
    <w:link w:val="FooterChar"/>
    <w:uiPriority w:val="99"/>
    <w:rsid w:val="008A0913"/>
    <w:pPr>
      <w:tabs>
        <w:tab w:val="center" w:pos="4320"/>
        <w:tab w:val="right" w:pos="8640"/>
      </w:tabs>
    </w:pPr>
    <w:rPr>
      <w:rFonts w:cs="Times New Roman"/>
    </w:rPr>
  </w:style>
  <w:style w:type="character" w:customStyle="1" w:styleId="FooterChar">
    <w:name w:val="Footer Char"/>
    <w:basedOn w:val="DefaultParagraphFont"/>
    <w:link w:val="Footer"/>
    <w:uiPriority w:val="99"/>
    <w:rsid w:val="008A0913"/>
    <w:rPr>
      <w:rFonts w:ascii="Calibri" w:eastAsia="Times New Roman" w:hAnsi="Calibri" w:cs="Times New Roman"/>
      <w:kern w:val="28"/>
    </w:rPr>
  </w:style>
  <w:style w:type="paragraph" w:styleId="BalloonText">
    <w:name w:val="Balloon Text"/>
    <w:basedOn w:val="Normal"/>
    <w:link w:val="BalloonTextChar"/>
    <w:uiPriority w:val="99"/>
    <w:semiHidden/>
    <w:unhideWhenUsed/>
    <w:rsid w:val="008A0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913"/>
    <w:rPr>
      <w:rFonts w:ascii="Tahoma" w:eastAsia="Times New Roman" w:hAnsi="Tahoma" w:cs="Tahoma"/>
      <w:kern w:val="28"/>
      <w:sz w:val="16"/>
      <w:szCs w:val="16"/>
    </w:rPr>
  </w:style>
  <w:style w:type="paragraph" w:customStyle="1" w:styleId="Default">
    <w:name w:val="Default"/>
    <w:rsid w:val="00DF534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5896">
      <w:bodyDiv w:val="1"/>
      <w:marLeft w:val="0"/>
      <w:marRight w:val="0"/>
      <w:marTop w:val="0"/>
      <w:marBottom w:val="0"/>
      <w:divBdr>
        <w:top w:val="none" w:sz="0" w:space="0" w:color="auto"/>
        <w:left w:val="none" w:sz="0" w:space="0" w:color="auto"/>
        <w:bottom w:val="none" w:sz="0" w:space="0" w:color="auto"/>
        <w:right w:val="none" w:sz="0" w:space="0" w:color="auto"/>
      </w:divBdr>
    </w:div>
    <w:div w:id="448201712">
      <w:bodyDiv w:val="1"/>
      <w:marLeft w:val="0"/>
      <w:marRight w:val="0"/>
      <w:marTop w:val="0"/>
      <w:marBottom w:val="0"/>
      <w:divBdr>
        <w:top w:val="none" w:sz="0" w:space="0" w:color="auto"/>
        <w:left w:val="none" w:sz="0" w:space="0" w:color="auto"/>
        <w:bottom w:val="none" w:sz="0" w:space="0" w:color="auto"/>
        <w:right w:val="none" w:sz="0" w:space="0" w:color="auto"/>
      </w:divBdr>
    </w:div>
    <w:div w:id="1244413757">
      <w:bodyDiv w:val="1"/>
      <w:marLeft w:val="0"/>
      <w:marRight w:val="0"/>
      <w:marTop w:val="0"/>
      <w:marBottom w:val="0"/>
      <w:divBdr>
        <w:top w:val="none" w:sz="0" w:space="0" w:color="auto"/>
        <w:left w:val="none" w:sz="0" w:space="0" w:color="auto"/>
        <w:bottom w:val="none" w:sz="0" w:space="0" w:color="auto"/>
        <w:right w:val="none" w:sz="0" w:space="0" w:color="auto"/>
      </w:divBdr>
    </w:div>
    <w:div w:id="1362048831">
      <w:bodyDiv w:val="1"/>
      <w:marLeft w:val="0"/>
      <w:marRight w:val="0"/>
      <w:marTop w:val="0"/>
      <w:marBottom w:val="0"/>
      <w:divBdr>
        <w:top w:val="none" w:sz="0" w:space="0" w:color="auto"/>
        <w:left w:val="none" w:sz="0" w:space="0" w:color="auto"/>
        <w:bottom w:val="none" w:sz="0" w:space="0" w:color="auto"/>
        <w:right w:val="none" w:sz="0" w:space="0" w:color="auto"/>
      </w:divBdr>
    </w:div>
    <w:div w:id="1527403862">
      <w:bodyDiv w:val="1"/>
      <w:marLeft w:val="0"/>
      <w:marRight w:val="0"/>
      <w:marTop w:val="0"/>
      <w:marBottom w:val="0"/>
      <w:divBdr>
        <w:top w:val="none" w:sz="0" w:space="0" w:color="auto"/>
        <w:left w:val="none" w:sz="0" w:space="0" w:color="auto"/>
        <w:bottom w:val="none" w:sz="0" w:space="0" w:color="auto"/>
        <w:right w:val="none" w:sz="0" w:space="0" w:color="auto"/>
      </w:divBdr>
    </w:div>
    <w:div w:id="197278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mailto:su_mfrs@govm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fmohamud@govmu.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hyperlink" Target="http://statsmauritius.govmu.org/English/StatsbySubj/Pages/default.aspx"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mfrs.govmu.org/English/Statistics/Pages/default.aspx" TargetMode="Externa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oleObject" Target="file:///D:\Statistical%20Report%202015\Statistical%20Report%202015%20Wrkgs\180516\Graph.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100"/>
            </a:pPr>
            <a:r>
              <a:rPr lang="en-US" sz="1100"/>
              <a:t>Figure I - Number of firecalls and special assistance, 2014 and 2015</a:t>
            </a:r>
          </a:p>
        </c:rich>
      </c:tx>
      <c:layout>
        <c:manualLayout>
          <c:xMode val="edge"/>
          <c:yMode val="edge"/>
          <c:x val="0.21550640706440716"/>
          <c:y val="8.4494484918357163E-2"/>
        </c:manualLayout>
      </c:layout>
      <c:overlay val="0"/>
    </c:title>
    <c:autoTitleDeleted val="0"/>
    <c:plotArea>
      <c:layout>
        <c:manualLayout>
          <c:layoutTarget val="inner"/>
          <c:xMode val="edge"/>
          <c:yMode val="edge"/>
          <c:x val="0.21315230944969088"/>
          <c:y val="0.20259302705538793"/>
          <c:w val="0.64491049083980778"/>
          <c:h val="0.68511344245234651"/>
        </c:manualLayout>
      </c:layout>
      <c:barChart>
        <c:barDir val="col"/>
        <c:grouping val="stacked"/>
        <c:varyColors val="0"/>
        <c:ser>
          <c:idx val="0"/>
          <c:order val="0"/>
          <c:tx>
            <c:strRef>
              <c:f>'Fig2a-Intro Total'!$B$4</c:f>
              <c:strCache>
                <c:ptCount val="1"/>
                <c:pt idx="0">
                  <c:v>Firecalls</c:v>
                </c:pt>
              </c:strCache>
            </c:strRef>
          </c:tx>
          <c:spPr>
            <a:solidFill>
              <a:srgbClr val="E8BFBE"/>
            </a:solidFill>
          </c:spPr>
          <c:invertIfNegative val="0"/>
          <c:dLbls>
            <c:dLbl>
              <c:idx val="0"/>
              <c:layout>
                <c:manualLayout>
                  <c:x val="-1.9747235387045812E-3"/>
                  <c:y val="6.7340067340067337E-3"/>
                </c:manualLayout>
              </c:layout>
              <c:showLegendKey val="0"/>
              <c:showVal val="1"/>
              <c:showCatName val="0"/>
              <c:showSerName val="0"/>
              <c:showPercent val="0"/>
              <c:showBubbleSize val="0"/>
            </c:dLbl>
            <c:dLbl>
              <c:idx val="1"/>
              <c:layout>
                <c:manualLayout>
                  <c:x val="0"/>
                  <c:y val="1.0101010101010102E-2"/>
                </c:manualLayout>
              </c:layout>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'Fig2a-Intro Total'!$C$3:$D$3</c:f>
              <c:numCache>
                <c:formatCode>General</c:formatCode>
                <c:ptCount val="2"/>
                <c:pt idx="0">
                  <c:v>2014</c:v>
                </c:pt>
                <c:pt idx="1">
                  <c:v>2015</c:v>
                </c:pt>
              </c:numCache>
            </c:numRef>
          </c:cat>
          <c:val>
            <c:numRef>
              <c:f>'Fig2a-Intro Total'!$C$4:$D$4</c:f>
              <c:numCache>
                <c:formatCode>#,##0\ \ </c:formatCode>
                <c:ptCount val="2"/>
                <c:pt idx="0">
                  <c:v>8369</c:v>
                </c:pt>
                <c:pt idx="1">
                  <c:v>6143</c:v>
                </c:pt>
              </c:numCache>
            </c:numRef>
          </c:val>
        </c:ser>
        <c:ser>
          <c:idx val="1"/>
          <c:order val="1"/>
          <c:tx>
            <c:strRef>
              <c:f>'Fig2a-Intro Total'!$B$5</c:f>
              <c:strCache>
                <c:ptCount val="1"/>
                <c:pt idx="0">
                  <c:v>Special assistance</c:v>
                </c:pt>
              </c:strCache>
            </c:strRef>
          </c:tx>
          <c:spPr>
            <a:pattFill prst="pct90">
              <a:fgClr>
                <a:schemeClr val="accent2">
                  <a:lumMod val="75000"/>
                </a:schemeClr>
              </a:fgClr>
              <a:bgClr>
                <a:schemeClr val="bg1"/>
              </a:bgClr>
            </a:pattFill>
          </c:spPr>
          <c:invertIfNegative val="0"/>
          <c:dLbls>
            <c:dLbl>
              <c:idx val="0"/>
              <c:layout>
                <c:manualLayout>
                  <c:x val="0"/>
                  <c:y val="1.0101010101010102E-2"/>
                </c:manualLayout>
              </c:layout>
              <c:showLegendKey val="0"/>
              <c:showVal val="1"/>
              <c:showCatName val="0"/>
              <c:showSerName val="0"/>
              <c:showPercent val="0"/>
              <c:showBubbleSize val="0"/>
            </c:dLbl>
            <c:dLbl>
              <c:idx val="1"/>
              <c:layout>
                <c:manualLayout>
                  <c:x val="0"/>
                  <c:y val="1.0101010101010039E-2"/>
                </c:manualLayout>
              </c:layout>
              <c:showLegendKey val="0"/>
              <c:showVal val="1"/>
              <c:showCatName val="0"/>
              <c:showSerName val="0"/>
              <c:showPercent val="0"/>
              <c:showBubbleSize val="0"/>
            </c:dLbl>
            <c:txPr>
              <a:bodyPr/>
              <a:lstStyle/>
              <a:p>
                <a:pPr>
                  <a:defRPr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'Fig2a-Intro Total'!$C$3:$D$3</c:f>
              <c:numCache>
                <c:formatCode>General</c:formatCode>
                <c:ptCount val="2"/>
                <c:pt idx="0">
                  <c:v>2014</c:v>
                </c:pt>
                <c:pt idx="1">
                  <c:v>2015</c:v>
                </c:pt>
              </c:numCache>
            </c:numRef>
          </c:cat>
          <c:val>
            <c:numRef>
              <c:f>'Fig2a-Intro Total'!$C$5:$D$5</c:f>
              <c:numCache>
                <c:formatCode>#,##0\ \ </c:formatCode>
                <c:ptCount val="2"/>
                <c:pt idx="0">
                  <c:v>2759</c:v>
                </c:pt>
                <c:pt idx="1">
                  <c:v>3704</c:v>
                </c:pt>
              </c:numCache>
            </c:numRef>
          </c:val>
        </c:ser>
        <c:dLbls>
          <c:showLegendKey val="0"/>
          <c:showVal val="0"/>
          <c:showCatName val="0"/>
          <c:showSerName val="0"/>
          <c:showPercent val="0"/>
          <c:showBubbleSize val="0"/>
        </c:dLbls>
        <c:gapWidth val="150"/>
        <c:overlap val="100"/>
        <c:axId val="37340672"/>
        <c:axId val="37342208"/>
      </c:barChart>
      <c:catAx>
        <c:axId val="37340672"/>
        <c:scaling>
          <c:orientation val="minMax"/>
        </c:scaling>
        <c:delete val="0"/>
        <c:axPos val="b"/>
        <c:numFmt formatCode="General" sourceLinked="1"/>
        <c:majorTickMark val="out"/>
        <c:minorTickMark val="none"/>
        <c:tickLblPos val="nextTo"/>
        <c:txPr>
          <a:bodyPr/>
          <a:lstStyle/>
          <a:p>
            <a:pPr>
              <a:defRPr sz="1100" b="1"/>
            </a:pPr>
            <a:endParaRPr lang="en-US"/>
          </a:p>
        </c:txPr>
        <c:crossAx val="37342208"/>
        <c:crosses val="autoZero"/>
        <c:auto val="1"/>
        <c:lblAlgn val="ctr"/>
        <c:lblOffset val="100"/>
        <c:noMultiLvlLbl val="0"/>
      </c:catAx>
      <c:valAx>
        <c:axId val="37342208"/>
        <c:scaling>
          <c:orientation val="minMax"/>
          <c:max val="16000"/>
        </c:scaling>
        <c:delete val="0"/>
        <c:axPos val="l"/>
        <c:title>
          <c:tx>
            <c:rich>
              <a:bodyPr rot="-5400000" vert="horz"/>
              <a:lstStyle/>
              <a:p>
                <a:pPr>
                  <a:defRPr sz="1100"/>
                </a:pPr>
                <a:r>
                  <a:rPr lang="en-US" sz="1100"/>
                  <a:t>Number</a:t>
                </a:r>
              </a:p>
            </c:rich>
          </c:tx>
          <c:layout>
            <c:manualLayout>
              <c:xMode val="edge"/>
              <c:yMode val="edge"/>
              <c:x val="6.5936990434335249E-2"/>
              <c:y val="0.4528307430958885"/>
            </c:manualLayout>
          </c:layout>
          <c:overlay val="0"/>
        </c:title>
        <c:numFmt formatCode="#,##0\ \ " sourceLinked="1"/>
        <c:majorTickMark val="out"/>
        <c:minorTickMark val="none"/>
        <c:tickLblPos val="nextTo"/>
        <c:txPr>
          <a:bodyPr/>
          <a:lstStyle/>
          <a:p>
            <a:pPr>
              <a:defRPr b="1"/>
            </a:pPr>
            <a:endParaRPr lang="en-US"/>
          </a:p>
        </c:txPr>
        <c:crossAx val="37340672"/>
        <c:crosses val="autoZero"/>
        <c:crossBetween val="between"/>
        <c:majorUnit val="2000"/>
      </c:valAx>
    </c:plotArea>
    <c:legend>
      <c:legendPos val="r"/>
      <c:layout>
        <c:manualLayout>
          <c:xMode val="edge"/>
          <c:yMode val="edge"/>
          <c:x val="0.73760901980275717"/>
          <c:y val="0.22285954436964261"/>
          <c:w val="0.20407809488930162"/>
          <c:h val="0.14213475121477837"/>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100"/>
            </a:pPr>
            <a:r>
              <a:rPr lang="en-US" sz="1100"/>
              <a:t>Figure II - Number of firecalls</a:t>
            </a:r>
            <a:r>
              <a:rPr lang="en-US" sz="1100" baseline="0"/>
              <a:t> </a:t>
            </a:r>
            <a:r>
              <a:rPr lang="en-US" sz="1100"/>
              <a:t>by type of fire incidents, 2014 and 2015</a:t>
            </a:r>
          </a:p>
        </c:rich>
      </c:tx>
      <c:layout>
        <c:manualLayout>
          <c:xMode val="edge"/>
          <c:yMode val="edge"/>
          <c:x val="0.1698419341283128"/>
          <c:y val="7.5081033373031014E-2"/>
        </c:manualLayout>
      </c:layout>
      <c:overlay val="0"/>
    </c:title>
    <c:autoTitleDeleted val="0"/>
    <c:plotArea>
      <c:layout>
        <c:manualLayout>
          <c:layoutTarget val="inner"/>
          <c:xMode val="edge"/>
          <c:yMode val="edge"/>
          <c:x val="0.20588585263898518"/>
          <c:y val="0.16648150509526391"/>
          <c:w val="0.73553047248404335"/>
          <c:h val="0.71862187380762466"/>
        </c:manualLayout>
      </c:layout>
      <c:barChart>
        <c:barDir val="bar"/>
        <c:grouping val="clustered"/>
        <c:varyColors val="0"/>
        <c:ser>
          <c:idx val="0"/>
          <c:order val="0"/>
          <c:tx>
            <c:strRef>
              <c:f>'Fig5a-Intro'!$D$3</c:f>
              <c:strCache>
                <c:ptCount val="1"/>
                <c:pt idx="0">
                  <c:v>2014</c:v>
                </c:pt>
              </c:strCache>
            </c:strRef>
          </c:tx>
          <c:spPr>
            <a:solidFill>
              <a:schemeClr val="accent2">
                <a:lumMod val="40000"/>
                <a:lumOff val="60000"/>
              </a:schemeClr>
            </a:solidFill>
          </c:spPr>
          <c:invertIfNegative val="0"/>
          <c:dLbls>
            <c:dLbl>
              <c:idx val="0"/>
              <c:layout>
                <c:manualLayout>
                  <c:x val="-8.5480106522734679E-3"/>
                  <c:y val="8.7816609130755216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0449914233161802E-3"/>
                  <c:y val="3.6583532785274143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3318495846326865E-3"/>
                  <c:y val="4.6762473656310494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016671144453407E-3"/>
                  <c:y val="7.6489337511225193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5975667618350271E-4"/>
                  <c:y val="5.779449982545321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'Fig5a-Intro'!$B$4:$B$11</c:f>
              <c:strCache>
                <c:ptCount val="8"/>
                <c:pt idx="0">
                  <c:v>Vehicle</c:v>
                </c:pt>
                <c:pt idx="1">
                  <c:v>Non-residential building</c:v>
                </c:pt>
                <c:pt idx="2">
                  <c:v>Other</c:v>
                </c:pt>
                <c:pt idx="3">
                  <c:v>Forest/Tree</c:v>
                </c:pt>
                <c:pt idx="4">
                  <c:v>Residential building</c:v>
                </c:pt>
                <c:pt idx="5">
                  <c:v>Rubbish</c:v>
                </c:pt>
                <c:pt idx="6">
                  <c:v>Grass</c:v>
                </c:pt>
                <c:pt idx="7">
                  <c:v>Sugar cane </c:v>
                </c:pt>
              </c:strCache>
            </c:strRef>
          </c:cat>
          <c:val>
            <c:numRef>
              <c:f>'Fig5a-Intro'!$D$4:$D$11</c:f>
              <c:numCache>
                <c:formatCode>#,##0\ \ </c:formatCode>
                <c:ptCount val="8"/>
                <c:pt idx="0">
                  <c:v>116</c:v>
                </c:pt>
                <c:pt idx="1">
                  <c:v>148</c:v>
                </c:pt>
                <c:pt idx="2">
                  <c:v>182</c:v>
                </c:pt>
                <c:pt idx="3">
                  <c:v>214</c:v>
                </c:pt>
                <c:pt idx="4">
                  <c:v>388</c:v>
                </c:pt>
                <c:pt idx="5">
                  <c:v>1737</c:v>
                </c:pt>
                <c:pt idx="6">
                  <c:v>2762</c:v>
                </c:pt>
                <c:pt idx="7">
                  <c:v>2822</c:v>
                </c:pt>
              </c:numCache>
            </c:numRef>
          </c:val>
        </c:ser>
        <c:ser>
          <c:idx val="1"/>
          <c:order val="1"/>
          <c:tx>
            <c:strRef>
              <c:f>'Fig5a-Intro'!$E$3</c:f>
              <c:strCache>
                <c:ptCount val="1"/>
                <c:pt idx="0">
                  <c:v>2015</c:v>
                </c:pt>
              </c:strCache>
            </c:strRef>
          </c:tx>
          <c:spPr>
            <a:pattFill prst="pct90">
              <a:fgClr>
                <a:srgbClr val="A13B39"/>
              </a:fgClr>
              <a:bgClr>
                <a:schemeClr val="bg1"/>
              </a:bgClr>
            </a:pattFill>
          </c:spPr>
          <c:invertIfNegative val="0"/>
          <c:dLbls>
            <c:dLbl>
              <c:idx val="0"/>
              <c:layout>
                <c:manualLayout>
                  <c:x val="-6.1159677874911339E-3"/>
                  <c:y val="-2.1043625053476277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1460654032419181E-3"/>
                  <c:y val="-6.9993178165504676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491412982825971E-3"/>
                  <c:y val="-2.4473813020068568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2684192035050741E-3"/>
                  <c:y val="-7.3829978301170485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2595932104793006E-3"/>
                  <c:y val="-3.7621129107910977E-3"/>
                </c:manualLayout>
              </c:layout>
              <c:tx>
                <c:rich>
                  <a:bodyPr/>
                  <a:lstStyle/>
                  <a:p>
                    <a:r>
                      <a:rPr lang="en-US">
                        <a:latin typeface="Times New Roman" panose="02020603050405020304" pitchFamily="18" charset="0"/>
                        <a:cs typeface="Times New Roman" panose="02020603050405020304" pitchFamily="18" charset="0"/>
                      </a:rPr>
                      <a:t>432</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5180299032541791E-3"/>
                  <c:y val="-9.5057034220532386E-3"/>
                </c:manualLayout>
              </c:layout>
              <c:dLblPos val="outEnd"/>
              <c:showLegendKey val="0"/>
              <c:showVal val="1"/>
              <c:showCatName val="0"/>
              <c:showSerName val="0"/>
              <c:showPercent val="0"/>
              <c:showBubbleSize val="0"/>
            </c:dLbl>
            <c:dLbl>
              <c:idx val="6"/>
              <c:layout>
                <c:manualLayout>
                  <c:x val="0"/>
                  <c:y val="-9.5057034220532386E-3"/>
                </c:manualLayout>
              </c:layout>
              <c:dLblPos val="outEnd"/>
              <c:showLegendKey val="0"/>
              <c:showVal val="1"/>
              <c:showCatName val="0"/>
              <c:showSerName val="0"/>
              <c:showPercent val="0"/>
              <c:showBubbleSize val="0"/>
            </c:dLbl>
            <c:dLbl>
              <c:idx val="7"/>
              <c:layout>
                <c:manualLayout>
                  <c:x val="0"/>
                  <c:y val="-6.3371356147021579E-3"/>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'Fig5a-Intro'!$B$4:$B$11</c:f>
              <c:strCache>
                <c:ptCount val="8"/>
                <c:pt idx="0">
                  <c:v>Vehicle</c:v>
                </c:pt>
                <c:pt idx="1">
                  <c:v>Non-residential building</c:v>
                </c:pt>
                <c:pt idx="2">
                  <c:v>Other</c:v>
                </c:pt>
                <c:pt idx="3">
                  <c:v>Forest/Tree</c:v>
                </c:pt>
                <c:pt idx="4">
                  <c:v>Residential building</c:v>
                </c:pt>
                <c:pt idx="5">
                  <c:v>Rubbish</c:v>
                </c:pt>
                <c:pt idx="6">
                  <c:v>Grass</c:v>
                </c:pt>
                <c:pt idx="7">
                  <c:v>Sugar cane </c:v>
                </c:pt>
              </c:strCache>
            </c:strRef>
          </c:cat>
          <c:val>
            <c:numRef>
              <c:f>'Fig5a-Intro'!$E$4:$E$11</c:f>
              <c:numCache>
                <c:formatCode>#,##0\ \ </c:formatCode>
                <c:ptCount val="8"/>
                <c:pt idx="0">
                  <c:v>125</c:v>
                </c:pt>
                <c:pt idx="1">
                  <c:v>180</c:v>
                </c:pt>
                <c:pt idx="2">
                  <c:v>149</c:v>
                </c:pt>
                <c:pt idx="3">
                  <c:v>129</c:v>
                </c:pt>
                <c:pt idx="4">
                  <c:v>432</c:v>
                </c:pt>
                <c:pt idx="5">
                  <c:v>1432</c:v>
                </c:pt>
                <c:pt idx="6">
                  <c:v>1599</c:v>
                </c:pt>
                <c:pt idx="7">
                  <c:v>2097</c:v>
                </c:pt>
              </c:numCache>
            </c:numRef>
          </c:val>
        </c:ser>
        <c:dLbls>
          <c:showLegendKey val="0"/>
          <c:showVal val="0"/>
          <c:showCatName val="0"/>
          <c:showSerName val="0"/>
          <c:showPercent val="0"/>
          <c:showBubbleSize val="0"/>
        </c:dLbls>
        <c:gapWidth val="150"/>
        <c:axId val="37737600"/>
        <c:axId val="37739136"/>
      </c:barChart>
      <c:catAx>
        <c:axId val="37737600"/>
        <c:scaling>
          <c:orientation val="minMax"/>
        </c:scaling>
        <c:delete val="0"/>
        <c:axPos val="l"/>
        <c:numFmt formatCode="General" sourceLinked="1"/>
        <c:majorTickMark val="out"/>
        <c:minorTickMark val="none"/>
        <c:tickLblPos val="nextTo"/>
        <c:txPr>
          <a:bodyPr/>
          <a:lstStyle/>
          <a:p>
            <a:pPr>
              <a:defRPr sz="1050" b="1"/>
            </a:pPr>
            <a:endParaRPr lang="en-US"/>
          </a:p>
        </c:txPr>
        <c:crossAx val="37739136"/>
        <c:crosses val="autoZero"/>
        <c:auto val="1"/>
        <c:lblAlgn val="ctr"/>
        <c:lblOffset val="100"/>
        <c:noMultiLvlLbl val="0"/>
      </c:catAx>
      <c:valAx>
        <c:axId val="37739136"/>
        <c:scaling>
          <c:orientation val="minMax"/>
        </c:scaling>
        <c:delete val="0"/>
        <c:axPos val="b"/>
        <c:title>
          <c:tx>
            <c:rich>
              <a:bodyPr/>
              <a:lstStyle/>
              <a:p>
                <a:pPr>
                  <a:defRPr sz="1100"/>
                </a:pPr>
                <a:r>
                  <a:rPr lang="en-US" sz="1100"/>
                  <a:t>Number</a:t>
                </a:r>
              </a:p>
            </c:rich>
          </c:tx>
          <c:layout>
            <c:manualLayout>
              <c:xMode val="edge"/>
              <c:yMode val="edge"/>
              <c:x val="0.51976098952197858"/>
              <c:y val="0.95604580326335686"/>
            </c:manualLayout>
          </c:layout>
          <c:overlay val="0"/>
        </c:title>
        <c:numFmt formatCode="#,##0\ \ " sourceLinked="1"/>
        <c:majorTickMark val="out"/>
        <c:minorTickMark val="none"/>
        <c:tickLblPos val="nextTo"/>
        <c:txPr>
          <a:bodyPr/>
          <a:lstStyle/>
          <a:p>
            <a:pPr>
              <a:defRPr b="1"/>
            </a:pPr>
            <a:endParaRPr lang="en-US"/>
          </a:p>
        </c:txPr>
        <c:crossAx val="37737600"/>
        <c:crosses val="autoZero"/>
        <c:crossBetween val="between"/>
      </c:valAx>
      <c:spPr>
        <a:ln>
          <a:noFill/>
        </a:ln>
      </c:spPr>
    </c:plotArea>
    <c:legend>
      <c:legendPos val="r"/>
      <c:layout>
        <c:manualLayout>
          <c:xMode val="edge"/>
          <c:yMode val="edge"/>
          <c:x val="0.82767373735275174"/>
          <c:y val="0.59748208786676904"/>
          <c:w val="8.0857485162639769E-2"/>
          <c:h val="0.10795649442498102"/>
        </c:manualLayout>
      </c:layout>
      <c:overlay val="0"/>
    </c:legend>
    <c:plotVisOnly val="1"/>
    <c:dispBlanksAs val="gap"/>
    <c:showDLblsOverMax val="0"/>
  </c:chart>
  <c:spPr>
    <a:noFill/>
    <a:ln>
      <a:noFill/>
    </a:ln>
  </c:spPr>
  <c:txPr>
    <a:bodyPr/>
    <a:lstStyle/>
    <a:p>
      <a:pPr>
        <a:defRPr>
          <a:ln>
            <a:noFill/>
          </a:ln>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100">
                <a:latin typeface="Times New Roman" pitchFamily="18" charset="0"/>
                <a:cs typeface="Times New Roman" pitchFamily="18" charset="0"/>
              </a:defRPr>
            </a:pPr>
            <a:r>
              <a:rPr lang="en-US" sz="1100">
                <a:latin typeface="Times New Roman" pitchFamily="18" charset="0"/>
                <a:cs typeface="Times New Roman" pitchFamily="18" charset="0"/>
              </a:rPr>
              <a:t>Figure III - Number of special assistance attended, 2014 and 2015</a:t>
            </a:r>
          </a:p>
        </c:rich>
      </c:tx>
      <c:layout>
        <c:manualLayout>
          <c:xMode val="edge"/>
          <c:yMode val="edge"/>
          <c:x val="0.18730674239490563"/>
          <c:y val="3.7409844317405558E-2"/>
        </c:manualLayout>
      </c:layout>
      <c:overlay val="0"/>
    </c:title>
    <c:autoTitleDeleted val="0"/>
    <c:plotArea>
      <c:layout>
        <c:manualLayout>
          <c:layoutTarget val="inner"/>
          <c:xMode val="edge"/>
          <c:yMode val="edge"/>
          <c:x val="0.12782047592888079"/>
          <c:y val="0.12640296617385116"/>
          <c:w val="0.85078043113463275"/>
          <c:h val="0.5379480818322363"/>
        </c:manualLayout>
      </c:layout>
      <c:barChart>
        <c:barDir val="col"/>
        <c:grouping val="clustered"/>
        <c:varyColors val="0"/>
        <c:ser>
          <c:idx val="0"/>
          <c:order val="0"/>
          <c:tx>
            <c:strRef>
              <c:f>'FigIII-Pg22'!$C$3</c:f>
              <c:strCache>
                <c:ptCount val="1"/>
                <c:pt idx="0">
                  <c:v>2014</c:v>
                </c:pt>
              </c:strCache>
            </c:strRef>
          </c:tx>
          <c:spPr>
            <a:solidFill>
              <a:schemeClr val="accent2">
                <a:lumMod val="40000"/>
                <a:lumOff val="60000"/>
              </a:schemeClr>
            </a:solidFill>
          </c:spPr>
          <c:invertIfNegative val="0"/>
          <c:dLbls>
            <c:dLbl>
              <c:idx val="0"/>
              <c:layout>
                <c:manualLayout>
                  <c:x val="-8.530871714430191E-3"/>
                  <c:y val="1.1284869271819119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8652326280444834E-3"/>
                  <c:y val="5.0594739487351496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3297848942066601E-2"/>
                  <c:y val="1.0965384646068279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6489373305370905E-3"/>
                  <c:y val="8.4388185654008432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2031701344594514E-3"/>
                  <c:y val="7.3514746826859514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9.1676040494938181E-3"/>
                  <c:y val="9.1731063497540941E-3"/>
                </c:manualLayout>
              </c:layout>
              <c:dLblPos val="outEnd"/>
              <c:showLegendKey val="0"/>
              <c:showVal val="1"/>
              <c:showCatName val="0"/>
              <c:showSerName val="0"/>
              <c:showPercent val="0"/>
              <c:showBubbleSize val="0"/>
            </c:dLbl>
            <c:dLbl>
              <c:idx val="6"/>
              <c:layout>
                <c:manualLayout>
                  <c:x val="-6.9832402234637336E-3"/>
                  <c:y val="1.0131712259371834E-2"/>
                </c:manualLayout>
              </c:layout>
              <c:dLblPos val="outEnd"/>
              <c:showLegendKey val="0"/>
              <c:showVal val="1"/>
              <c:showCatName val="0"/>
              <c:showSerName val="0"/>
              <c:showPercent val="0"/>
              <c:showBubbleSize val="0"/>
            </c:dLbl>
            <c:dLbl>
              <c:idx val="7"/>
              <c:layout>
                <c:manualLayout>
                  <c:x val="-9.3109869646183091E-3"/>
                  <c:y val="1.2664640324214792E-2"/>
                </c:manualLayout>
              </c:layout>
              <c:dLblPos val="outEnd"/>
              <c:showLegendKey val="0"/>
              <c:showVal val="1"/>
              <c:showCatName val="0"/>
              <c:showSerName val="0"/>
              <c:showPercent val="0"/>
              <c:showBubbleSize val="0"/>
            </c:dLbl>
            <c:dLbl>
              <c:idx val="8"/>
              <c:layout>
                <c:manualLayout>
                  <c:x val="-6.9832402234637336E-3"/>
                  <c:y val="1.2664640324214792E-2"/>
                </c:manualLayout>
              </c:layout>
              <c:dLblPos val="outEnd"/>
              <c:showLegendKey val="0"/>
              <c:showVal val="1"/>
              <c:showCatName val="0"/>
              <c:showSerName val="0"/>
              <c:showPercent val="0"/>
              <c:showBubbleSize val="0"/>
            </c:dLbl>
            <c:dLbl>
              <c:idx val="9"/>
              <c:layout>
                <c:manualLayout>
                  <c:x val="-9.3109869646183091E-3"/>
                  <c:y val="7.5987841945288999E-3"/>
                </c:manualLayout>
              </c:layout>
              <c:dLblPos val="outEnd"/>
              <c:showLegendKey val="0"/>
              <c:showVal val="1"/>
              <c:showCatName val="0"/>
              <c:showSerName val="0"/>
              <c:showPercent val="0"/>
              <c:showBubbleSize val="0"/>
            </c:dLbl>
            <c:txPr>
              <a:bodyPr/>
              <a:lstStyle/>
              <a:p>
                <a:pPr>
                  <a:defRPr sz="900">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'FigIII-Pg22'!$B$4:$B$13</c:f>
              <c:strCache>
                <c:ptCount val="10"/>
                <c:pt idx="0">
                  <c:v>Accumulation of water</c:v>
                </c:pt>
                <c:pt idx="1">
                  <c:v>Flushing-road accident</c:v>
                </c:pt>
                <c:pt idx="2">
                  <c:v>Flushing-other</c:v>
                </c:pt>
                <c:pt idx="3">
                  <c:v>Rescue operation-Human</c:v>
                </c:pt>
                <c:pt idx="4">
                  <c:v>Rescue operation-Animal</c:v>
                </c:pt>
                <c:pt idx="5">
                  <c:v>Supply of water</c:v>
                </c:pt>
                <c:pt idx="6">
                  <c:v>Stand-by</c:v>
                </c:pt>
                <c:pt idx="7">
                  <c:v>Cutting of trees/branches</c:v>
                </c:pt>
                <c:pt idx="8">
                  <c:v>Assistance to other agencies</c:v>
                </c:pt>
                <c:pt idx="9">
                  <c:v>Other</c:v>
                </c:pt>
              </c:strCache>
            </c:strRef>
          </c:cat>
          <c:val>
            <c:numRef>
              <c:f>'FigIII-Pg22'!$C$4:$C$13</c:f>
              <c:numCache>
                <c:formatCode>#,##0\ \ </c:formatCode>
                <c:ptCount val="10"/>
                <c:pt idx="0">
                  <c:v>534</c:v>
                </c:pt>
                <c:pt idx="1">
                  <c:v>163</c:v>
                </c:pt>
                <c:pt idx="2">
                  <c:v>780</c:v>
                </c:pt>
                <c:pt idx="3">
                  <c:v>136</c:v>
                </c:pt>
                <c:pt idx="4">
                  <c:v>63</c:v>
                </c:pt>
                <c:pt idx="5">
                  <c:v>178</c:v>
                </c:pt>
                <c:pt idx="6">
                  <c:v>310</c:v>
                </c:pt>
                <c:pt idx="7">
                  <c:v>403</c:v>
                </c:pt>
                <c:pt idx="8">
                  <c:v>76</c:v>
                </c:pt>
                <c:pt idx="9">
                  <c:v>116</c:v>
                </c:pt>
              </c:numCache>
            </c:numRef>
          </c:val>
        </c:ser>
        <c:ser>
          <c:idx val="1"/>
          <c:order val="1"/>
          <c:tx>
            <c:strRef>
              <c:f>'FigIII-Pg22'!$D$3</c:f>
              <c:strCache>
                <c:ptCount val="1"/>
                <c:pt idx="0">
                  <c:v>2015</c:v>
                </c:pt>
              </c:strCache>
            </c:strRef>
          </c:tx>
          <c:spPr>
            <a:pattFill prst="pct90">
              <a:fgClr>
                <a:schemeClr val="accent2">
                  <a:lumMod val="75000"/>
                </a:schemeClr>
              </a:fgClr>
              <a:bgClr>
                <a:schemeClr val="bg1"/>
              </a:bgClr>
            </a:pattFill>
          </c:spPr>
          <c:invertIfNegative val="0"/>
          <c:dLbls>
            <c:dLbl>
              <c:idx val="0"/>
              <c:layout>
                <c:manualLayout>
                  <c:x val="2.0023068531617323E-17"/>
                  <c:y val="8.2314660866594849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3966480446927469E-2"/>
                  <c:y val="7.5924020135780933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1527295121629344E-2"/>
                  <c:y val="1.0131712259371834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9.3109869646183091E-3"/>
                  <c:y val="8.4388387621759983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1638733705772815E-2"/>
                  <c:y val="1.0125330078421048E-2"/>
                </c:manualLayout>
              </c:layout>
              <c:tx>
                <c:rich>
                  <a:bodyPr/>
                  <a:lstStyle/>
                  <a:p>
                    <a:r>
                      <a:rPr lang="en-US" sz="900">
                        <a:latin typeface="Times New Roman" pitchFamily="18" charset="0"/>
                        <a:cs typeface="Times New Roman" pitchFamily="18" charset="0"/>
                      </a:rPr>
                      <a:t>87</a:t>
                    </a:r>
                  </a:p>
                </c:rich>
              </c:tx>
              <c:dLblPos val="outEnd"/>
              <c:showLegendKey val="0"/>
              <c:showVal val="1"/>
              <c:showCatName val="0"/>
              <c:showSerName val="0"/>
              <c:showPercent val="0"/>
              <c:showBubbleSize val="0"/>
            </c:dLbl>
            <c:dLbl>
              <c:idx val="5"/>
              <c:layout>
                <c:manualLayout>
                  <c:x val="9.3109869646183091E-3"/>
                  <c:y val="1.0131712259371834E-2"/>
                </c:manualLayout>
              </c:layout>
              <c:dLblPos val="outEnd"/>
              <c:showLegendKey val="0"/>
              <c:showVal val="1"/>
              <c:showCatName val="0"/>
              <c:showSerName val="0"/>
              <c:showPercent val="0"/>
              <c:showBubbleSize val="0"/>
            </c:dLbl>
            <c:dLbl>
              <c:idx val="6"/>
              <c:layout>
                <c:manualLayout>
                  <c:x val="1.3966480446927469E-2"/>
                  <c:y val="1.0131712259371834E-2"/>
                </c:manualLayout>
              </c:layout>
              <c:dLblPos val="outEnd"/>
              <c:showLegendKey val="0"/>
              <c:showVal val="1"/>
              <c:showCatName val="0"/>
              <c:showSerName val="0"/>
              <c:showPercent val="0"/>
              <c:showBubbleSize val="0"/>
            </c:dLbl>
            <c:dLbl>
              <c:idx val="7"/>
              <c:layout>
                <c:manualLayout>
                  <c:x val="0"/>
                  <c:y val="7.5987841945288591E-3"/>
                </c:manualLayout>
              </c:layout>
              <c:dLblPos val="outEnd"/>
              <c:showLegendKey val="0"/>
              <c:showVal val="1"/>
              <c:showCatName val="0"/>
              <c:showSerName val="0"/>
              <c:showPercent val="0"/>
              <c:showBubbleSize val="0"/>
            </c:dLbl>
            <c:dLbl>
              <c:idx val="8"/>
              <c:layout>
                <c:manualLayout>
                  <c:x val="0"/>
                  <c:y val="1.0131712259371834E-2"/>
                </c:manualLayout>
              </c:layout>
              <c:dLblPos val="outEnd"/>
              <c:showLegendKey val="0"/>
              <c:showVal val="1"/>
              <c:showCatName val="0"/>
              <c:showSerName val="0"/>
              <c:showPercent val="0"/>
              <c:showBubbleSize val="0"/>
            </c:dLbl>
            <c:dLbl>
              <c:idx val="9"/>
              <c:layout>
                <c:manualLayout>
                  <c:x val="1.1638733705772815E-2"/>
                  <c:y val="1.0131712259371834E-2"/>
                </c:manualLayout>
              </c:layout>
              <c:dLblPos val="outEnd"/>
              <c:showLegendKey val="0"/>
              <c:showVal val="1"/>
              <c:showCatName val="0"/>
              <c:showSerName val="0"/>
              <c:showPercent val="0"/>
              <c:showBubbleSize val="0"/>
            </c:dLbl>
            <c:txPr>
              <a:bodyPr/>
              <a:lstStyle/>
              <a:p>
                <a:pPr>
                  <a:defRPr sz="900">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'FigIII-Pg22'!$B$4:$B$13</c:f>
              <c:strCache>
                <c:ptCount val="10"/>
                <c:pt idx="0">
                  <c:v>Accumulation of water</c:v>
                </c:pt>
                <c:pt idx="1">
                  <c:v>Flushing-road accident</c:v>
                </c:pt>
                <c:pt idx="2">
                  <c:v>Flushing-other</c:v>
                </c:pt>
                <c:pt idx="3">
                  <c:v>Rescue operation-Human</c:v>
                </c:pt>
                <c:pt idx="4">
                  <c:v>Rescue operation-Animal</c:v>
                </c:pt>
                <c:pt idx="5">
                  <c:v>Supply of water</c:v>
                </c:pt>
                <c:pt idx="6">
                  <c:v>Stand-by</c:v>
                </c:pt>
                <c:pt idx="7">
                  <c:v>Cutting of trees/branches</c:v>
                </c:pt>
                <c:pt idx="8">
                  <c:v>Assistance to other agencies</c:v>
                </c:pt>
                <c:pt idx="9">
                  <c:v>Other</c:v>
                </c:pt>
              </c:strCache>
            </c:strRef>
          </c:cat>
          <c:val>
            <c:numRef>
              <c:f>'FigIII-Pg22'!$D$4:$D$13</c:f>
              <c:numCache>
                <c:formatCode>#,##0\ \ </c:formatCode>
                <c:ptCount val="10"/>
                <c:pt idx="0">
                  <c:v>1129</c:v>
                </c:pt>
                <c:pt idx="1">
                  <c:v>254</c:v>
                </c:pt>
                <c:pt idx="2">
                  <c:v>796</c:v>
                </c:pt>
                <c:pt idx="3">
                  <c:v>98</c:v>
                </c:pt>
                <c:pt idx="4">
                  <c:v>87</c:v>
                </c:pt>
                <c:pt idx="5">
                  <c:v>149</c:v>
                </c:pt>
                <c:pt idx="6">
                  <c:v>304</c:v>
                </c:pt>
                <c:pt idx="7">
                  <c:v>582</c:v>
                </c:pt>
                <c:pt idx="8">
                  <c:v>190</c:v>
                </c:pt>
                <c:pt idx="9">
                  <c:v>115</c:v>
                </c:pt>
              </c:numCache>
            </c:numRef>
          </c:val>
        </c:ser>
        <c:dLbls>
          <c:showLegendKey val="0"/>
          <c:showVal val="0"/>
          <c:showCatName val="0"/>
          <c:showSerName val="0"/>
          <c:showPercent val="0"/>
          <c:showBubbleSize val="0"/>
        </c:dLbls>
        <c:gapWidth val="150"/>
        <c:axId val="42701568"/>
        <c:axId val="42703104"/>
      </c:barChart>
      <c:catAx>
        <c:axId val="42701568"/>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en-US"/>
          </a:p>
        </c:txPr>
        <c:crossAx val="42703104"/>
        <c:crosses val="autoZero"/>
        <c:auto val="1"/>
        <c:lblAlgn val="ctr"/>
        <c:lblOffset val="100"/>
        <c:noMultiLvlLbl val="0"/>
      </c:catAx>
      <c:valAx>
        <c:axId val="42703104"/>
        <c:scaling>
          <c:orientation val="minMax"/>
        </c:scaling>
        <c:delete val="0"/>
        <c:axPos val="l"/>
        <c:title>
          <c:tx>
            <c:rich>
              <a:bodyPr rot="-5400000" vert="horz"/>
              <a:lstStyle/>
              <a:p>
                <a:pPr>
                  <a:defRPr sz="1100">
                    <a:latin typeface="Times New Roman" pitchFamily="18" charset="0"/>
                    <a:cs typeface="Times New Roman" pitchFamily="18" charset="0"/>
                  </a:defRPr>
                </a:pPr>
                <a:r>
                  <a:rPr lang="en-US" sz="1100">
                    <a:latin typeface="Times New Roman" pitchFamily="18" charset="0"/>
                    <a:cs typeface="Times New Roman" pitchFamily="18" charset="0"/>
                  </a:rPr>
                  <a:t>Number</a:t>
                </a:r>
              </a:p>
            </c:rich>
          </c:tx>
          <c:layout>
            <c:manualLayout>
              <c:xMode val="edge"/>
              <c:yMode val="edge"/>
              <c:x val="1.4018087188642701E-2"/>
              <c:y val="0.33244896713492245"/>
            </c:manualLayout>
          </c:layout>
          <c:overlay val="0"/>
        </c:title>
        <c:numFmt formatCode="#,##0\ \ " sourceLinked="1"/>
        <c:majorTickMark val="out"/>
        <c:minorTickMark val="none"/>
        <c:tickLblPos val="nextTo"/>
        <c:txPr>
          <a:bodyPr/>
          <a:lstStyle/>
          <a:p>
            <a:pPr>
              <a:defRPr b="1">
                <a:latin typeface="Times New Roman" pitchFamily="18" charset="0"/>
                <a:cs typeface="Times New Roman" pitchFamily="18" charset="0"/>
              </a:defRPr>
            </a:pPr>
            <a:endParaRPr lang="en-US"/>
          </a:p>
        </c:txPr>
        <c:crossAx val="42701568"/>
        <c:crosses val="autoZero"/>
        <c:crossBetween val="between"/>
      </c:valAx>
    </c:plotArea>
    <c:legend>
      <c:legendPos val="r"/>
      <c:layout>
        <c:manualLayout>
          <c:xMode val="edge"/>
          <c:yMode val="edge"/>
          <c:x val="0.84376524245944684"/>
          <c:y val="0.17352865775498988"/>
          <c:w val="8.2775375555119879E-2"/>
          <c:h val="8.693140101673337E-2"/>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100">
                <a:latin typeface="Times New Roman" panose="02020603050405020304" pitchFamily="18" charset="0"/>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Figure IV - Number of  fire certificate applications received and certificate issued, 2014 and 2015</a:t>
            </a:r>
          </a:p>
        </c:rich>
      </c:tx>
      <c:layout>
        <c:manualLayout>
          <c:xMode val="edge"/>
          <c:yMode val="edge"/>
          <c:x val="0.15524422854401274"/>
          <c:y val="1.6349956255468075E-3"/>
        </c:manualLayout>
      </c:layout>
      <c:overlay val="0"/>
    </c:title>
    <c:autoTitleDeleted val="0"/>
    <c:plotArea>
      <c:layout>
        <c:manualLayout>
          <c:layoutTarget val="inner"/>
          <c:xMode val="edge"/>
          <c:yMode val="edge"/>
          <c:x val="0.18953958880139996"/>
          <c:y val="0.17237348491550916"/>
          <c:w val="0.67196875088194619"/>
          <c:h val="0.56237690288713893"/>
        </c:manualLayout>
      </c:layout>
      <c:barChart>
        <c:barDir val="bar"/>
        <c:grouping val="clustered"/>
        <c:varyColors val="0"/>
        <c:ser>
          <c:idx val="0"/>
          <c:order val="0"/>
          <c:tx>
            <c:strRef>
              <c:f>'FigV-Intro  (3)'!$B$4</c:f>
              <c:strCache>
                <c:ptCount val="1"/>
                <c:pt idx="0">
                  <c:v>2014</c:v>
                </c:pt>
              </c:strCache>
            </c:strRef>
          </c:tx>
          <c:spPr>
            <a:solidFill>
              <a:srgbClr val="E8BFBE"/>
            </a:solidFill>
          </c:spPr>
          <c:invertIfNegative val="0"/>
          <c:dLbls>
            <c:dLbl>
              <c:idx val="0"/>
              <c:layout>
                <c:manualLayout>
                  <c:x val="-1.6640350235105101E-3"/>
                  <c:y val="0"/>
                </c:manualLayout>
              </c:layout>
              <c:dLblPos val="outEnd"/>
              <c:showLegendKey val="0"/>
              <c:showVal val="1"/>
              <c:showCatName val="0"/>
              <c:showSerName val="0"/>
              <c:showPercent val="0"/>
              <c:showBubbleSize val="0"/>
            </c:dLbl>
            <c:dLbl>
              <c:idx val="1"/>
              <c:layout>
                <c:manualLayout>
                  <c:x val="-3.6041016526477555E-3"/>
                  <c:y val="0"/>
                </c:manualLayout>
              </c:layout>
              <c:dLblPos val="outEnd"/>
              <c:showLegendKey val="0"/>
              <c:showVal val="1"/>
              <c:showCatName val="0"/>
              <c:showSerName val="0"/>
              <c:showPercent val="0"/>
              <c:showBubbleSize val="0"/>
            </c:dLbl>
            <c:txPr>
              <a:bodyPr/>
              <a:lstStyle/>
              <a:p>
                <a:pPr>
                  <a:defRPr b="0">
                    <a:latin typeface="Times New Roman" panose="02020603050405020304" pitchFamily="18" charset="0"/>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'FigV-Intro  (3)'!$C$3:$D$3</c:f>
              <c:strCache>
                <c:ptCount val="2"/>
                <c:pt idx="0">
                  <c:v>Fire certificate applications</c:v>
                </c:pt>
                <c:pt idx="1">
                  <c:v>Fire certificate issued</c:v>
                </c:pt>
              </c:strCache>
            </c:strRef>
          </c:cat>
          <c:val>
            <c:numRef>
              <c:f>'FigV-Intro  (3)'!$C$4:$D$4</c:f>
              <c:numCache>
                <c:formatCode>General</c:formatCode>
                <c:ptCount val="2"/>
                <c:pt idx="0">
                  <c:v>879</c:v>
                </c:pt>
                <c:pt idx="1">
                  <c:v>687</c:v>
                </c:pt>
              </c:numCache>
            </c:numRef>
          </c:val>
        </c:ser>
        <c:ser>
          <c:idx val="1"/>
          <c:order val="1"/>
          <c:tx>
            <c:strRef>
              <c:f>'FigV-Intro  (3)'!$B$5</c:f>
              <c:strCache>
                <c:ptCount val="1"/>
                <c:pt idx="0">
                  <c:v>2015</c:v>
                </c:pt>
              </c:strCache>
            </c:strRef>
          </c:tx>
          <c:spPr>
            <a:pattFill prst="pct90">
              <a:fgClr>
                <a:schemeClr val="accent2">
                  <a:lumMod val="75000"/>
                </a:schemeClr>
              </a:fgClr>
              <a:bgClr>
                <a:schemeClr val="bg1"/>
              </a:bgClr>
            </a:pattFill>
          </c:spPr>
          <c:invertIfNegative val="0"/>
          <c:dLbls>
            <c:dLbl>
              <c:idx val="0"/>
              <c:layout>
                <c:manualLayout>
                  <c:x val="-1.8756121620255655E-3"/>
                  <c:y val="-3.1320667255495241E-7"/>
                </c:manualLayout>
              </c:layout>
              <c:dLblPos val="outEnd"/>
              <c:showLegendKey val="0"/>
              <c:showVal val="1"/>
              <c:showCatName val="0"/>
              <c:showSerName val="0"/>
              <c:showPercent val="0"/>
              <c:showBubbleSize val="0"/>
            </c:dLbl>
            <c:dLbl>
              <c:idx val="1"/>
              <c:layout>
                <c:manualLayout>
                  <c:x val="-4.9908851035054894E-3"/>
                  <c:y val="-7.9554494828957927E-3"/>
                </c:manualLayout>
              </c:layout>
              <c:dLblPos val="outEnd"/>
              <c:showLegendKey val="0"/>
              <c:showVal val="1"/>
              <c:showCatName val="0"/>
              <c:showSerName val="0"/>
              <c:showPercent val="0"/>
              <c:showBubbleSize val="0"/>
            </c:dLbl>
            <c:txPr>
              <a:bodyPr/>
              <a:lstStyle/>
              <a:p>
                <a:pPr>
                  <a:defRPr sz="1000">
                    <a:latin typeface="Times New Roman" panose="02020603050405020304" pitchFamily="18" charset="0"/>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'FigV-Intro  (3)'!$C$3:$D$3</c:f>
              <c:strCache>
                <c:ptCount val="2"/>
                <c:pt idx="0">
                  <c:v>Fire certificate applications</c:v>
                </c:pt>
                <c:pt idx="1">
                  <c:v>Fire certificate issued</c:v>
                </c:pt>
              </c:strCache>
            </c:strRef>
          </c:cat>
          <c:val>
            <c:numRef>
              <c:f>'FigV-Intro  (3)'!$C$5:$D$5</c:f>
              <c:numCache>
                <c:formatCode>General</c:formatCode>
                <c:ptCount val="2"/>
                <c:pt idx="0">
                  <c:v>760</c:v>
                </c:pt>
                <c:pt idx="1">
                  <c:v>840</c:v>
                </c:pt>
              </c:numCache>
            </c:numRef>
          </c:val>
        </c:ser>
        <c:dLbls>
          <c:showLegendKey val="0"/>
          <c:showVal val="1"/>
          <c:showCatName val="0"/>
          <c:showSerName val="0"/>
          <c:showPercent val="0"/>
          <c:showBubbleSize val="0"/>
        </c:dLbls>
        <c:gapWidth val="150"/>
        <c:axId val="42665088"/>
        <c:axId val="42727680"/>
      </c:barChart>
      <c:catAx>
        <c:axId val="42665088"/>
        <c:scaling>
          <c:orientation val="minMax"/>
        </c:scaling>
        <c:delete val="0"/>
        <c:axPos val="l"/>
        <c:numFmt formatCode="General" sourceLinked="1"/>
        <c:majorTickMark val="out"/>
        <c:minorTickMark val="none"/>
        <c:tickLblPos val="nextTo"/>
        <c:txPr>
          <a:bodyPr/>
          <a:lstStyle/>
          <a:p>
            <a:pPr>
              <a:defRPr sz="1050" b="1">
                <a:latin typeface="Times New Roman" panose="02020603050405020304" pitchFamily="18" charset="0"/>
                <a:cs typeface="Times New Roman" panose="02020603050405020304" pitchFamily="18" charset="0"/>
              </a:defRPr>
            </a:pPr>
            <a:endParaRPr lang="en-US"/>
          </a:p>
        </c:txPr>
        <c:crossAx val="42727680"/>
        <c:crosses val="autoZero"/>
        <c:auto val="1"/>
        <c:lblAlgn val="ctr"/>
        <c:lblOffset val="100"/>
        <c:noMultiLvlLbl val="0"/>
      </c:catAx>
      <c:valAx>
        <c:axId val="42727680"/>
        <c:scaling>
          <c:orientation val="minMax"/>
          <c:max val="1000"/>
          <c:min val="0"/>
        </c:scaling>
        <c:delete val="0"/>
        <c:axPos val="b"/>
        <c:title>
          <c:tx>
            <c:rich>
              <a:bodyPr/>
              <a:lstStyle/>
              <a:p>
                <a:pPr>
                  <a:defRPr/>
                </a:pPr>
                <a:r>
                  <a:rPr lang="en-US" sz="1100">
                    <a:latin typeface="Times New Roman" panose="02020603050405020304" pitchFamily="18" charset="0"/>
                    <a:cs typeface="Times New Roman" panose="02020603050405020304" pitchFamily="18" charset="0"/>
                  </a:rPr>
                  <a:t>Number</a:t>
                </a:r>
              </a:p>
            </c:rich>
          </c:tx>
          <c:layout>
            <c:manualLayout>
              <c:xMode val="edge"/>
              <c:yMode val="edge"/>
              <c:x val="0.47440115852453929"/>
              <c:y val="0.84129182128096069"/>
            </c:manualLayout>
          </c:layout>
          <c:overlay val="0"/>
        </c:title>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en-US"/>
          </a:p>
        </c:txPr>
        <c:crossAx val="42665088"/>
        <c:crosses val="autoZero"/>
        <c:crossBetween val="between"/>
        <c:majorUnit val="200"/>
        <c:minorUnit val="100"/>
      </c:valAx>
    </c:plotArea>
    <c:legend>
      <c:legendPos val="r"/>
      <c:layout>
        <c:manualLayout>
          <c:xMode val="edge"/>
          <c:yMode val="edge"/>
          <c:x val="0.86144522289044601"/>
          <c:y val="0.37593409659999405"/>
          <c:w val="8.1815363630727264E-2"/>
          <c:h val="0.16932678673786475"/>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100">
                <a:latin typeface="Times New Roman" panose="02020603050405020304" pitchFamily="18" charset="0"/>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Figure V - Number of  fire clearance applications received and clearance issued,</a:t>
            </a:r>
            <a:r>
              <a:rPr lang="en-US" sz="1100" baseline="0">
                <a:latin typeface="Times New Roman" panose="02020603050405020304" pitchFamily="18" charset="0"/>
                <a:cs typeface="Times New Roman" panose="02020603050405020304" pitchFamily="18" charset="0"/>
              </a:rPr>
              <a:t> </a:t>
            </a:r>
            <a:r>
              <a:rPr lang="en-US" sz="1100">
                <a:latin typeface="Times New Roman" panose="02020603050405020304" pitchFamily="18" charset="0"/>
                <a:cs typeface="Times New Roman" panose="02020603050405020304" pitchFamily="18" charset="0"/>
              </a:rPr>
              <a:t>2014 and 2015</a:t>
            </a:r>
          </a:p>
        </c:rich>
      </c:tx>
      <c:layout>
        <c:manualLayout>
          <c:xMode val="edge"/>
          <c:yMode val="edge"/>
          <c:x val="0.18178835600095444"/>
          <c:y val="7.4589216493923735E-4"/>
        </c:manualLayout>
      </c:layout>
      <c:overlay val="0"/>
    </c:title>
    <c:autoTitleDeleted val="0"/>
    <c:plotArea>
      <c:layout>
        <c:manualLayout>
          <c:layoutTarget val="inner"/>
          <c:xMode val="edge"/>
          <c:yMode val="edge"/>
          <c:x val="0.20983129114208332"/>
          <c:y val="0.2098367086033065"/>
          <c:w val="0.61025977061086589"/>
          <c:h val="0.64022309711286085"/>
        </c:manualLayout>
      </c:layout>
      <c:barChart>
        <c:barDir val="col"/>
        <c:grouping val="clustered"/>
        <c:varyColors val="0"/>
        <c:ser>
          <c:idx val="0"/>
          <c:order val="0"/>
          <c:tx>
            <c:strRef>
              <c:f>'FigV-Intro'!$B$4</c:f>
              <c:strCache>
                <c:ptCount val="1"/>
                <c:pt idx="0">
                  <c:v>2014</c:v>
                </c:pt>
              </c:strCache>
            </c:strRef>
          </c:tx>
          <c:spPr>
            <a:solidFill>
              <a:srgbClr val="E8BFBE"/>
            </a:solidFill>
          </c:spPr>
          <c:invertIfNegative val="0"/>
          <c:dLbls>
            <c:dLbl>
              <c:idx val="0"/>
              <c:layout>
                <c:manualLayout>
                  <c:x val="-2.5635924498799388E-3"/>
                  <c:y val="3.9776277965254394E-3"/>
                </c:manualLayout>
              </c:layout>
              <c:spPr/>
              <c:txPr>
                <a:bodyPr/>
                <a:lstStyle/>
                <a:p>
                  <a:pPr>
                    <a:defRPr b="0">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dLbl>
            <c:dLbl>
              <c:idx val="1"/>
              <c:layout>
                <c:manualLayout>
                  <c:x val="-2.4143840397609882E-3"/>
                  <c:y val="0"/>
                </c:manualLayout>
              </c:layout>
              <c:spPr/>
              <c:txPr>
                <a:bodyPr/>
                <a:lstStyle/>
                <a:p>
                  <a:pPr>
                    <a:defRPr b="0">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dLbl>
            <c:txPr>
              <a:bodyPr/>
              <a:lstStyle/>
              <a:p>
                <a:pPr>
                  <a:defRPr b="1">
                    <a:latin typeface="Times New Roman" panose="02020603050405020304" pitchFamily="18" charset="0"/>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'FigV-Intro'!$C$3:$D$3</c:f>
              <c:strCache>
                <c:ptCount val="2"/>
                <c:pt idx="0">
                  <c:v>Fire clearance applications</c:v>
                </c:pt>
                <c:pt idx="1">
                  <c:v>Fire clearance issued</c:v>
                </c:pt>
              </c:strCache>
            </c:strRef>
          </c:cat>
          <c:val>
            <c:numRef>
              <c:f>'FigV-Intro'!$C$4:$D$4</c:f>
              <c:numCache>
                <c:formatCode>#,##0\ \ </c:formatCode>
                <c:ptCount val="2"/>
                <c:pt idx="0">
                  <c:v>1204</c:v>
                </c:pt>
                <c:pt idx="1">
                  <c:v>1044</c:v>
                </c:pt>
              </c:numCache>
            </c:numRef>
          </c:val>
        </c:ser>
        <c:ser>
          <c:idx val="1"/>
          <c:order val="1"/>
          <c:tx>
            <c:strRef>
              <c:f>'FigV-Intro'!$B$5</c:f>
              <c:strCache>
                <c:ptCount val="1"/>
                <c:pt idx="0">
                  <c:v>2015</c:v>
                </c:pt>
              </c:strCache>
            </c:strRef>
          </c:tx>
          <c:spPr>
            <a:pattFill prst="pct90">
              <a:fgClr>
                <a:srgbClr val="A13B39"/>
              </a:fgClr>
              <a:bgClr>
                <a:schemeClr val="bg1"/>
              </a:bgClr>
            </a:pattFill>
          </c:spPr>
          <c:invertIfNegative val="0"/>
          <c:dLbls>
            <c:dLbl>
              <c:idx val="0"/>
              <c:layout>
                <c:manualLayout>
                  <c:x val="5.91252965037125E-5"/>
                  <c:y val="4.1324214035289583E-3"/>
                </c:manualLayout>
              </c:layout>
              <c:dLblPos val="outEnd"/>
              <c:showLegendKey val="0"/>
              <c:showVal val="1"/>
              <c:showCatName val="0"/>
              <c:showSerName val="0"/>
              <c:showPercent val="0"/>
              <c:showBubbleSize val="0"/>
            </c:dLbl>
            <c:dLbl>
              <c:idx val="1"/>
              <c:layout>
                <c:manualLayout>
                  <c:x val="1.6559515831797631E-3"/>
                  <c:y val="1.1933174224343725E-2"/>
                </c:manualLayout>
              </c:layout>
              <c:dLblPos val="outEnd"/>
              <c:showLegendKey val="0"/>
              <c:showVal val="1"/>
              <c:showCatName val="0"/>
              <c:showSerName val="0"/>
              <c:showPercent val="0"/>
              <c:showBubbleSize val="0"/>
            </c:dLbl>
            <c:txPr>
              <a:bodyPr/>
              <a:lstStyle/>
              <a:p>
                <a:pPr>
                  <a:defRPr sz="1000" b="0">
                    <a:latin typeface="Times New Roman" panose="02020603050405020304" pitchFamily="18" charset="0"/>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'FigV-Intro'!$C$3:$D$3</c:f>
              <c:strCache>
                <c:ptCount val="2"/>
                <c:pt idx="0">
                  <c:v>Fire clearance applications</c:v>
                </c:pt>
                <c:pt idx="1">
                  <c:v>Fire clearance issued</c:v>
                </c:pt>
              </c:strCache>
            </c:strRef>
          </c:cat>
          <c:val>
            <c:numRef>
              <c:f>'FigV-Intro'!$C$5:$D$5</c:f>
              <c:numCache>
                <c:formatCode>#,##0\ \ </c:formatCode>
                <c:ptCount val="2"/>
                <c:pt idx="0">
                  <c:v>1481</c:v>
                </c:pt>
                <c:pt idx="1">
                  <c:v>1373</c:v>
                </c:pt>
              </c:numCache>
            </c:numRef>
          </c:val>
        </c:ser>
        <c:dLbls>
          <c:showLegendKey val="0"/>
          <c:showVal val="1"/>
          <c:showCatName val="0"/>
          <c:showSerName val="0"/>
          <c:showPercent val="0"/>
          <c:showBubbleSize val="0"/>
        </c:dLbls>
        <c:gapWidth val="150"/>
        <c:axId val="42944000"/>
        <c:axId val="42945536"/>
      </c:barChart>
      <c:catAx>
        <c:axId val="42944000"/>
        <c:scaling>
          <c:orientation val="minMax"/>
        </c:scaling>
        <c:delete val="0"/>
        <c:axPos val="b"/>
        <c:numFmt formatCode="General" sourceLinked="1"/>
        <c:majorTickMark val="out"/>
        <c:minorTickMark val="none"/>
        <c:tickLblPos val="nextTo"/>
        <c:txPr>
          <a:bodyPr/>
          <a:lstStyle/>
          <a:p>
            <a:pPr>
              <a:defRPr sz="1050" b="1">
                <a:latin typeface="Times New Roman" panose="02020603050405020304" pitchFamily="18" charset="0"/>
                <a:cs typeface="Times New Roman" panose="02020603050405020304" pitchFamily="18" charset="0"/>
              </a:defRPr>
            </a:pPr>
            <a:endParaRPr lang="en-US"/>
          </a:p>
        </c:txPr>
        <c:crossAx val="42945536"/>
        <c:crosses val="autoZero"/>
        <c:auto val="1"/>
        <c:lblAlgn val="ctr"/>
        <c:lblOffset val="100"/>
        <c:noMultiLvlLbl val="0"/>
      </c:catAx>
      <c:valAx>
        <c:axId val="42945536"/>
        <c:scaling>
          <c:orientation val="minMax"/>
          <c:max val="1600"/>
          <c:min val="0"/>
        </c:scaling>
        <c:delete val="0"/>
        <c:axPos val="l"/>
        <c:title>
          <c:tx>
            <c:rich>
              <a:bodyPr rot="-5400000" vert="horz"/>
              <a:lstStyle/>
              <a:p>
                <a:pPr>
                  <a:defRPr sz="1100"/>
                </a:pPr>
                <a:r>
                  <a:rPr lang="en-US" sz="1100">
                    <a:latin typeface="Times New Roman" panose="02020603050405020304" pitchFamily="18" charset="0"/>
                    <a:cs typeface="Times New Roman" panose="02020603050405020304" pitchFamily="18" charset="0"/>
                  </a:rPr>
                  <a:t>Number</a:t>
                </a:r>
              </a:p>
            </c:rich>
          </c:tx>
          <c:layout>
            <c:manualLayout>
              <c:xMode val="edge"/>
              <c:yMode val="edge"/>
              <c:x val="5.2127674250968335E-2"/>
              <c:y val="0.40749145743574505"/>
            </c:manualLayout>
          </c:layout>
          <c:overlay val="0"/>
        </c:title>
        <c:numFmt formatCode="#,##0\ \ "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en-US"/>
          </a:p>
        </c:txPr>
        <c:crossAx val="42944000"/>
        <c:crosses val="autoZero"/>
        <c:crossBetween val="between"/>
        <c:majorUnit val="200"/>
        <c:minorUnit val="100"/>
      </c:valAx>
    </c:plotArea>
    <c:legend>
      <c:legendPos val="r"/>
      <c:layout>
        <c:manualLayout>
          <c:xMode val="edge"/>
          <c:yMode val="edge"/>
          <c:x val="0.86825778629275618"/>
          <c:y val="0.29734818731600177"/>
          <c:w val="7.3456952573441703E-2"/>
          <c:h val="0.18436632318066357"/>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625C4F97873204EAF50040C5E3D56DE" ma:contentTypeVersion="1" ma:contentTypeDescription="Create a new document." ma:contentTypeScope="" ma:versionID="4301fecae70e1570a4403796935484c5">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CDCF5C-CB39-4982-BDD6-DFB0EEFD942B}"/>
</file>

<file path=customXml/itemProps2.xml><?xml version="1.0" encoding="utf-8"?>
<ds:datastoreItem xmlns:ds="http://schemas.openxmlformats.org/officeDocument/2006/customXml" ds:itemID="{D696ACB4-B80B-4B62-9910-03FB54F36AF7}"/>
</file>

<file path=customXml/itemProps3.xml><?xml version="1.0" encoding="utf-8"?>
<ds:datastoreItem xmlns:ds="http://schemas.openxmlformats.org/officeDocument/2006/customXml" ds:itemID="{9AEB9FEE-8854-4973-A1F9-FD4D506CC6AA}"/>
</file>

<file path=customXml/itemProps4.xml><?xml version="1.0" encoding="utf-8"?>
<ds:datastoreItem xmlns:ds="http://schemas.openxmlformats.org/officeDocument/2006/customXml" ds:itemID="{C15A005F-8C51-4E70-BEC4-6534CEE0AC89}"/>
</file>

<file path=docProps/app.xml><?xml version="1.0" encoding="utf-8"?>
<Properties xmlns="http://schemas.openxmlformats.org/officeDocument/2006/extended-properties" xmlns:vt="http://schemas.openxmlformats.org/officeDocument/2006/docPropsVTypes">
  <Template>Normal</Template>
  <TotalTime>81</TotalTime>
  <Pages>7</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Fayeza</dc:creator>
  <cp:lastModifiedBy>user</cp:lastModifiedBy>
  <cp:revision>15</cp:revision>
  <cp:lastPrinted>2016-05-30T10:44:00Z</cp:lastPrinted>
  <dcterms:created xsi:type="dcterms:W3CDTF">2016-05-30T06:59:00Z</dcterms:created>
  <dcterms:modified xsi:type="dcterms:W3CDTF">2017-05-18T07:17:00Z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0x010100E625C4F97873204EAF50040C5E3D56DE</vt:lpwstr>
  </property>
</Properties>
</file>